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72516" w14:textId="6A9394AA" w:rsidR="006D50AC" w:rsidRDefault="00AD3A3A" w:rsidP="006D50AC">
      <w:pPr>
        <w:tabs>
          <w:tab w:val="left" w:pos="3944"/>
        </w:tabs>
        <w:jc w:val="center"/>
        <w:rPr>
          <w:rFonts w:ascii="Rockwell Nova Light" w:hAnsi="Rockwell Nova Light"/>
        </w:rPr>
      </w:pPr>
      <w:r>
        <w:rPr>
          <w:noProof/>
        </w:rPr>
        <w:drawing>
          <wp:anchor distT="0" distB="0" distL="114300" distR="114300" simplePos="0" relativeHeight="251663360" behindDoc="1" locked="0" layoutInCell="1" allowOverlap="1" wp14:anchorId="5A6C5CAB" wp14:editId="2E2383A4">
            <wp:simplePos x="0" y="0"/>
            <wp:positionH relativeFrom="margin">
              <wp:posOffset>-1032565</wp:posOffset>
            </wp:positionH>
            <wp:positionV relativeFrom="paragraph">
              <wp:posOffset>-405075</wp:posOffset>
            </wp:positionV>
            <wp:extent cx="8354060" cy="1638300"/>
            <wp:effectExtent l="0" t="0" r="8890" b="0"/>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rectangle&#10;&#10;Description automatically generated"/>
                    <pic:cNvPicPr/>
                  </pic:nvPicPr>
                  <pic:blipFill>
                    <a:blip r:embed="rId10" cstate="print">
                      <a:extLst>
                        <a:ext uri="{28A0092B-C50C-407E-A947-70E740481C1C}">
                          <a14:useLocalDpi xmlns:a14="http://schemas.microsoft.com/office/drawing/2010/main"/>
                        </a:ext>
                      </a:extLst>
                    </a:blip>
                    <a:stretch>
                      <a:fillRect/>
                    </a:stretch>
                  </pic:blipFill>
                  <pic:spPr>
                    <a:xfrm>
                      <a:off x="0" y="0"/>
                      <a:ext cx="8354060" cy="1638300"/>
                    </a:xfrm>
                    <a:prstGeom prst="rect">
                      <a:avLst/>
                    </a:prstGeom>
                  </pic:spPr>
                </pic:pic>
              </a:graphicData>
            </a:graphic>
            <wp14:sizeRelH relativeFrom="page">
              <wp14:pctWidth>0</wp14:pctWidth>
            </wp14:sizeRelH>
            <wp14:sizeRelV relativeFrom="page">
              <wp14:pctHeight>0</wp14:pctHeight>
            </wp14:sizeRelV>
          </wp:anchor>
        </w:drawing>
      </w:r>
      <w:r>
        <w:rPr>
          <w:rFonts w:ascii="Rockwell Nova Light" w:hAnsi="Rockwell Nova Light"/>
          <w:noProof/>
          <w:sz w:val="32"/>
          <w:szCs w:val="32"/>
        </w:rPr>
        <w:drawing>
          <wp:anchor distT="0" distB="0" distL="114300" distR="114300" simplePos="0" relativeHeight="251662336" behindDoc="1" locked="0" layoutInCell="1" allowOverlap="1" wp14:anchorId="5E0A2267" wp14:editId="65DB389A">
            <wp:simplePos x="0" y="0"/>
            <wp:positionH relativeFrom="margin">
              <wp:posOffset>-998468</wp:posOffset>
            </wp:positionH>
            <wp:positionV relativeFrom="paragraph">
              <wp:posOffset>-256981</wp:posOffset>
            </wp:positionV>
            <wp:extent cx="8367713" cy="1640910"/>
            <wp:effectExtent l="0" t="0" r="0" b="0"/>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67713" cy="1640910"/>
                    </a:xfrm>
                    <a:prstGeom prst="rect">
                      <a:avLst/>
                    </a:prstGeom>
                  </pic:spPr>
                </pic:pic>
              </a:graphicData>
            </a:graphic>
            <wp14:sizeRelH relativeFrom="page">
              <wp14:pctWidth>0</wp14:pctWidth>
            </wp14:sizeRelH>
            <wp14:sizeRelV relativeFrom="page">
              <wp14:pctHeight>0</wp14:pctHeight>
            </wp14:sizeRelV>
          </wp:anchor>
        </w:drawing>
      </w:r>
      <w:r w:rsidR="006D50AC" w:rsidRPr="0054413C">
        <w:rPr>
          <w:rFonts w:ascii="Rockwell Nova Light" w:hAnsi="Rockwell Nova Light"/>
          <w:noProof/>
          <w:sz w:val="32"/>
          <w:szCs w:val="32"/>
        </w:rPr>
        <w:t>Policy Brief</w:t>
      </w:r>
      <w:r w:rsidR="006D50AC">
        <w:rPr>
          <w:rFonts w:ascii="Rockwell Nova Light" w:hAnsi="Rockwell Nova Light"/>
          <w:noProof/>
          <w:sz w:val="32"/>
          <w:szCs w:val="32"/>
        </w:rPr>
        <w:t xml:space="preserve"> - #</w:t>
      </w:r>
      <w:r w:rsidR="008933C8">
        <w:rPr>
          <w:rFonts w:ascii="Rockwell Nova Light" w:hAnsi="Rockwell Nova Light"/>
          <w:noProof/>
          <w:sz w:val="32"/>
          <w:szCs w:val="32"/>
        </w:rPr>
        <w:t>1.</w:t>
      </w:r>
      <w:r w:rsidR="00EC60DE">
        <w:rPr>
          <w:rFonts w:ascii="Rockwell Nova Light" w:hAnsi="Rockwell Nova Light"/>
          <w:noProof/>
          <w:sz w:val="32"/>
          <w:szCs w:val="32"/>
        </w:rPr>
        <w:t>7</w:t>
      </w:r>
      <w:r w:rsidR="006D50AC">
        <w:rPr>
          <w:rFonts w:ascii="Rockwell Nova Light" w:hAnsi="Rockwell Nova Light"/>
          <w:noProof/>
          <w:sz w:val="32"/>
          <w:szCs w:val="32"/>
        </w:rPr>
        <w:br/>
        <w:t xml:space="preserve">Case study </w:t>
      </w:r>
      <w:r w:rsidR="004D3015">
        <w:rPr>
          <w:rFonts w:ascii="Rockwell Nova Light" w:hAnsi="Rockwell Nova Light"/>
          <w:noProof/>
          <w:sz w:val="32"/>
          <w:szCs w:val="32"/>
        </w:rPr>
        <w:t>–</w:t>
      </w:r>
      <w:r w:rsidR="006D50AC">
        <w:rPr>
          <w:rFonts w:ascii="Rockwell Nova Light" w:hAnsi="Rockwell Nova Light"/>
          <w:noProof/>
          <w:sz w:val="32"/>
          <w:szCs w:val="32"/>
        </w:rPr>
        <w:t xml:space="preserve"> </w:t>
      </w:r>
      <w:r w:rsidR="00EC60DE">
        <w:rPr>
          <w:rFonts w:ascii="Rockwell Nova Light" w:hAnsi="Rockwell Nova Light"/>
          <w:noProof/>
          <w:sz w:val="32"/>
          <w:szCs w:val="32"/>
        </w:rPr>
        <w:t>The United States of America</w:t>
      </w:r>
      <w:r w:rsidR="006D50AC">
        <w:rPr>
          <w:rFonts w:ascii="Rockwell Nova Light" w:hAnsi="Rockwell Nova Light"/>
          <w:noProof/>
          <w:sz w:val="32"/>
          <w:szCs w:val="32"/>
        </w:rPr>
        <w:br/>
      </w:r>
      <w:r w:rsidR="004D3015">
        <w:rPr>
          <w:rFonts w:ascii="Rockwell Nova Light" w:hAnsi="Rockwell Nova Light"/>
        </w:rPr>
        <w:t xml:space="preserve">The impact of the </w:t>
      </w:r>
      <w:r w:rsidR="00EC60DE">
        <w:rPr>
          <w:rFonts w:ascii="Rockwell Nova Light" w:hAnsi="Rockwell Nova Light"/>
        </w:rPr>
        <w:t>United States</w:t>
      </w:r>
      <w:r w:rsidR="00524CD4">
        <w:rPr>
          <w:rFonts w:ascii="Rockwell Nova Light" w:hAnsi="Rockwell Nova Light"/>
        </w:rPr>
        <w:t>’</w:t>
      </w:r>
      <w:r w:rsidR="004D3015">
        <w:rPr>
          <w:rFonts w:ascii="Rockwell Nova Light" w:hAnsi="Rockwell Nova Light"/>
        </w:rPr>
        <w:t xml:space="preserve"> tax policies on</w:t>
      </w:r>
      <w:r w:rsidR="00323DBC">
        <w:rPr>
          <w:rFonts w:ascii="Rockwell Nova Light" w:hAnsi="Rockwell Nova Light"/>
        </w:rPr>
        <w:br/>
        <w:t>Determinants of Health and Mortality rates</w:t>
      </w:r>
    </w:p>
    <w:p w14:paraId="35F7368D" w14:textId="67F49025" w:rsidR="006D50AC" w:rsidRPr="006D50AC" w:rsidRDefault="006D50AC" w:rsidP="006D50AC"/>
    <w:p w14:paraId="7DD697D9" w14:textId="77777777" w:rsidR="006D50AC" w:rsidRPr="00643D6F" w:rsidRDefault="006D50AC" w:rsidP="006D50AC">
      <w:pPr>
        <w:rPr>
          <w:rFonts w:ascii="Rockwell Nova Light" w:hAnsi="Rockwell Nova Light"/>
          <w:b/>
          <w:bCs/>
          <w:sz w:val="28"/>
          <w:szCs w:val="28"/>
        </w:rPr>
      </w:pPr>
      <w:r>
        <w:rPr>
          <w:rFonts w:ascii="Rockwell Nova Light" w:hAnsi="Rockwell Nova Light"/>
          <w:b/>
          <w:bCs/>
          <w:sz w:val="28"/>
          <w:szCs w:val="28"/>
        </w:rPr>
        <w:t>The consequences of tax abuse</w:t>
      </w:r>
    </w:p>
    <w:p w14:paraId="2C8C4EF4" w14:textId="3E88D4C9" w:rsidR="006D50AC" w:rsidRDefault="006D50AC" w:rsidP="006D50AC">
      <w:pPr>
        <w:rPr>
          <w:rFonts w:ascii="Rockwell Nova Light" w:hAnsi="Rockwell Nova Light" w:cstheme="minorHAnsi"/>
        </w:rPr>
      </w:pPr>
      <w:r>
        <w:rPr>
          <w:rFonts w:ascii="Rockwell Nova Light" w:hAnsi="Rockwell Nova Light" w:cstheme="minorHAnsi"/>
        </w:rPr>
        <w:t xml:space="preserve">Tax abuse is increasingly being recognised as a significant barrier to development. </w:t>
      </w:r>
      <w:r w:rsidR="002775A5">
        <w:rPr>
          <w:rFonts w:ascii="Rockwell Nova Light" w:hAnsi="Rockwell Nova Light" w:cstheme="minorHAnsi"/>
        </w:rPr>
        <w:t>G</w:t>
      </w:r>
      <w:r>
        <w:rPr>
          <w:rFonts w:ascii="Rockwell Nova Light" w:hAnsi="Rockwell Nova Light" w:cstheme="minorHAnsi"/>
        </w:rPr>
        <w:t xml:space="preserve">overnment revenue in </w:t>
      </w:r>
      <w:r w:rsidR="002775A5">
        <w:rPr>
          <w:rFonts w:ascii="Rockwell Nova Light" w:hAnsi="Rockwell Nova Light" w:cstheme="minorHAnsi"/>
        </w:rPr>
        <w:t xml:space="preserve">low-income-countries </w:t>
      </w:r>
      <w:r>
        <w:rPr>
          <w:rFonts w:ascii="Rockwell Nova Light" w:hAnsi="Rockwell Nova Light" w:cstheme="minorHAnsi"/>
        </w:rPr>
        <w:t xml:space="preserve">relies more heavily on corporate tax than in </w:t>
      </w:r>
      <w:r w:rsidR="002775A5">
        <w:rPr>
          <w:rFonts w:ascii="Rockwell Nova Light" w:hAnsi="Rockwell Nova Light" w:cstheme="minorHAnsi"/>
        </w:rPr>
        <w:t>h</w:t>
      </w:r>
      <w:r>
        <w:rPr>
          <w:rFonts w:ascii="Rockwell Nova Light" w:hAnsi="Rockwell Nova Light" w:cstheme="minorHAnsi"/>
        </w:rPr>
        <w:t>igh</w:t>
      </w:r>
      <w:r w:rsidR="002775A5">
        <w:rPr>
          <w:rFonts w:ascii="Rockwell Nova Light" w:hAnsi="Rockwell Nova Light" w:cstheme="minorHAnsi"/>
        </w:rPr>
        <w:t>-i</w:t>
      </w:r>
      <w:r>
        <w:rPr>
          <w:rFonts w:ascii="Rockwell Nova Light" w:hAnsi="Rockwell Nova Light" w:cstheme="minorHAnsi"/>
        </w:rPr>
        <w:t>ncome</w:t>
      </w:r>
      <w:r w:rsidR="002775A5">
        <w:rPr>
          <w:rFonts w:ascii="Rockwell Nova Light" w:hAnsi="Rockwell Nova Light" w:cstheme="minorHAnsi"/>
        </w:rPr>
        <w:t>-c</w:t>
      </w:r>
      <w:r>
        <w:rPr>
          <w:rFonts w:ascii="Rockwell Nova Light" w:hAnsi="Rockwell Nova Light" w:cstheme="minorHAnsi"/>
        </w:rPr>
        <w:t xml:space="preserve">ountries, </w:t>
      </w:r>
      <w:r w:rsidR="002775A5">
        <w:rPr>
          <w:rFonts w:ascii="Rockwell Nova Light" w:hAnsi="Rockwell Nova Light" w:cstheme="minorHAnsi"/>
        </w:rPr>
        <w:t xml:space="preserve">and </w:t>
      </w:r>
      <w:r>
        <w:rPr>
          <w:rFonts w:ascii="Rockwell Nova Light" w:hAnsi="Rockwell Nova Light" w:cstheme="minorHAnsi"/>
        </w:rPr>
        <w:t>tax abuses by international players can have a much more significant impact on their ability to accrue government revenue  and invest in healthcare and education</w:t>
      </w:r>
      <w:r w:rsidR="00F9266E">
        <w:rPr>
          <w:rFonts w:ascii="Rockwell Nova Light" w:hAnsi="Rockwell Nova Light" w:cstheme="minorHAnsi"/>
        </w:rPr>
        <w:t xml:space="preserve"> (</w:t>
      </w:r>
      <w:hyperlink r:id="rId12" w:history="1">
        <w:r w:rsidR="00F9266E" w:rsidRPr="00F9266E">
          <w:rPr>
            <w:rStyle w:val="Hyperlink"/>
            <w:rFonts w:ascii="Rockwell Nova Light" w:hAnsi="Rockwell Nova Light" w:cstheme="minorHAnsi"/>
          </w:rPr>
          <w:t>Moore, 2015</w:t>
        </w:r>
      </w:hyperlink>
      <w:r w:rsidR="00F9266E">
        <w:rPr>
          <w:rFonts w:ascii="Rockwell Nova Light" w:hAnsi="Rockwell Nova Light" w:cstheme="minorHAnsi"/>
        </w:rPr>
        <w:t>)</w:t>
      </w:r>
      <w:r>
        <w:rPr>
          <w:rFonts w:ascii="Rockwell Nova Light" w:hAnsi="Rockwell Nova Light" w:cstheme="minorHAnsi"/>
        </w:rPr>
        <w:fldChar w:fldCharType="begin" w:fldLock="1"/>
      </w:r>
      <w:r>
        <w:rPr>
          <w:rFonts w:ascii="Rockwell Nova Light" w:hAnsi="Rockwell Nova Light" w:cstheme="minorHAnsi"/>
        </w:rPr>
        <w:instrText>ADDIN CSL_CITATION {"citationItems":[{"id":"ITEM-1","itemData":{"DOI":"10.2139/ssrn.2436437","ISBN":"9781781181416","abstract":"This paper is focused on the question: why do the governments of low income countries not raise more tax revenues? Two different but complementary approaches are used to answer it. The first approach is comparisons: among countries today, and within countries over time. This approach tends to generate relatively conservative answers to the central question. It leads to an emphasis on the ‘sticky’ nature of the taxation. For any individual country in 'normal times' – i.e. excluding situations of war, major internal conflict, the collapse or rapid reconstruction of state power - revenue collections, measured as a proportion of GDP, do not change much from year to year. This is partly because effective taxation systems require a great deal of coordination and cooperation between revenue agencies and other organisations, both inside and outside the public sector. It is hard quickly to improve the effectiveness of a complex organisational network. The 'stickiness' of tax collections also reflects the fact that the overall tax take – i.e. the proportion of GDP raised as public revenue – is to a significant degree determined by the structure of national economies. For logistical reasons, it is much easier to raise revenue from economies (a) that are high income, urban and non-agricultural and (b) where the ratio of international trade to GDP is high. The government of the average low income country raises less than 20 per cent of GDP in revenue. It makes no sense for such governments to aim to match OECD tax takes of 30-45 per cent of GDP.  A joint paper by the International Centre for Tax and Development (ICTD) and the United Nations Research Institute for Social Development (UNRISD). This paper has been co-funded by the Swiss Agency for Development and Cooperation (SDC) and as part of the IDS project ‘The Governance of Service Delivery.' ","author":[{"dropping-particle":"","family":"Moore","given":"Mick","non-dropping-particle":"","parse-names":false,"suffix":""}],"container-title":"SSRN Electronic Journal","id":"ITEM-1","issue":"December","issued":{"date-parts":[["2014"]]},"title":"Obstacles to Increasing Tax Revenues in Low Income Countries","type":"book"},"uris":["http://www.mendeley.com/documents/?uuid=47570f8d-3c9c-4225-bf9e-788c60b0070a"]}],"mendeley":{"formattedCitation":"[1]","plainTextFormattedCitation":"[1]","previouslyFormattedCitation":"(Moore, 2014)"},"properties":{"noteIndex":0},"schema":"https://github.com/citation-style-language/schema/raw/master/csl-citation.json"}</w:instrText>
      </w:r>
      <w:r>
        <w:rPr>
          <w:rFonts w:ascii="Rockwell Nova Light" w:hAnsi="Rockwell Nova Light" w:cstheme="minorHAnsi"/>
        </w:rPr>
        <w:fldChar w:fldCharType="end"/>
      </w:r>
      <w:r>
        <w:rPr>
          <w:rFonts w:ascii="Rockwell Nova Light" w:hAnsi="Rockwell Nova Light" w:cstheme="minorHAnsi"/>
        </w:rPr>
        <w:t>.</w:t>
      </w:r>
      <w:r w:rsidR="00F9266E">
        <w:rPr>
          <w:rFonts w:ascii="Rockwell Nova Light" w:hAnsi="Rockwell Nova Light" w:cstheme="minorHAnsi"/>
        </w:rPr>
        <w:t xml:space="preserve"> </w:t>
      </w:r>
      <w:r>
        <w:rPr>
          <w:rFonts w:ascii="Rockwell Nova Light" w:hAnsi="Rockwell Nova Light" w:cstheme="minorHAnsi"/>
        </w:rPr>
        <w:t xml:space="preserve">Our </w:t>
      </w:r>
      <w:hyperlink r:id="rId13" w:history="1">
        <w:r>
          <w:rPr>
            <w:rStyle w:val="Hyperlink"/>
            <w:rFonts w:ascii="Rockwell Nova Light" w:hAnsi="Rockwell Nova Light" w:cstheme="minorHAnsi"/>
          </w:rPr>
          <w:t>peer-reviewed research on Government Revenue and Development (GRADE)</w:t>
        </w:r>
      </w:hyperlink>
      <w:r>
        <w:rPr>
          <w:rFonts w:ascii="Rockwell Nova Light" w:hAnsi="Rockwell Nova Light" w:cstheme="minorHAnsi"/>
        </w:rPr>
        <w:t xml:space="preserve"> has demonstrated that an increase in government revenue in low-income-countries can have a significant impact on its ability to provide Determinants of Health (e.g. sanitation and drinking water) and reduce under-5 (U5) and maternal mortality rates. </w:t>
      </w:r>
    </w:p>
    <w:p w14:paraId="553F70C8" w14:textId="3B4DA329" w:rsidR="006D50AC" w:rsidRDefault="00C356D7" w:rsidP="006D50AC">
      <w:pPr>
        <w:rPr>
          <w:rFonts w:ascii="Rockwell Nova Light" w:hAnsi="Rockwell Nova Light"/>
          <w:b/>
          <w:bCs/>
          <w:sz w:val="28"/>
          <w:szCs w:val="28"/>
        </w:rPr>
      </w:pPr>
      <w:r>
        <w:rPr>
          <w:rFonts w:ascii="Rockwell Nova Light" w:hAnsi="Rockwell Nova Light"/>
          <w:b/>
          <w:bCs/>
          <w:sz w:val="28"/>
          <w:szCs w:val="28"/>
        </w:rPr>
        <w:t xml:space="preserve">Tax policies </w:t>
      </w:r>
      <w:r w:rsidR="008F6467">
        <w:rPr>
          <w:rFonts w:ascii="Rockwell Nova Light" w:hAnsi="Rockwell Nova Light"/>
          <w:b/>
          <w:bCs/>
          <w:sz w:val="28"/>
          <w:szCs w:val="28"/>
        </w:rPr>
        <w:t>i</w:t>
      </w:r>
      <w:r>
        <w:rPr>
          <w:rFonts w:ascii="Rockwell Nova Light" w:hAnsi="Rockwell Nova Light"/>
          <w:b/>
          <w:bCs/>
          <w:sz w:val="28"/>
          <w:szCs w:val="28"/>
        </w:rPr>
        <w:t xml:space="preserve">n the </w:t>
      </w:r>
      <w:r w:rsidR="00EC60DE">
        <w:rPr>
          <w:rFonts w:ascii="Rockwell Nova Light" w:hAnsi="Rockwell Nova Light"/>
          <w:b/>
          <w:bCs/>
          <w:sz w:val="28"/>
          <w:szCs w:val="28"/>
        </w:rPr>
        <w:t>USA</w:t>
      </w:r>
    </w:p>
    <w:p w14:paraId="0B43AD66" w14:textId="125BA376" w:rsidR="00A0501B" w:rsidRDefault="00EC60DE" w:rsidP="00F15C44">
      <w:pPr>
        <w:rPr>
          <w:rFonts w:ascii="Rockwell Nova Light" w:hAnsi="Rockwell Nova Light" w:cstheme="minorHAnsi"/>
        </w:rPr>
      </w:pPr>
      <w:r>
        <w:rPr>
          <w:rFonts w:ascii="Rockwell Nova Light" w:hAnsi="Rockwell Nova Light" w:cstheme="minorHAnsi"/>
        </w:rPr>
        <w:t>The USA</w:t>
      </w:r>
      <w:r w:rsidR="00512CB0" w:rsidRPr="00512CB0">
        <w:rPr>
          <w:rFonts w:ascii="Rockwell Nova Light" w:hAnsi="Rockwell Nova Light" w:cstheme="minorHAnsi"/>
        </w:rPr>
        <w:t xml:space="preserve"> has been recognised both as a stark offender and victim of tax abuse</w:t>
      </w:r>
      <w:r w:rsidR="00E04932" w:rsidRPr="00512CB0">
        <w:rPr>
          <w:rFonts w:ascii="Rockwell Nova Light" w:hAnsi="Rockwell Nova Light" w:cstheme="minorHAnsi"/>
        </w:rPr>
        <w:t xml:space="preserve">. In 2020, the Tax Justice Network released </w:t>
      </w:r>
      <w:hyperlink r:id="rId14" w:history="1">
        <w:r w:rsidR="00E04932" w:rsidRPr="00512CB0">
          <w:rPr>
            <w:rStyle w:val="Hyperlink"/>
            <w:rFonts w:ascii="Rockwell Nova Light" w:hAnsi="Rockwell Nova Light" w:cstheme="minorHAnsi"/>
            <w:u w:val="none"/>
          </w:rPr>
          <w:t>a report on the State of Tax Justice (SOTJ)</w:t>
        </w:r>
      </w:hyperlink>
      <w:r w:rsidR="00E04932" w:rsidRPr="00512CB0">
        <w:rPr>
          <w:rFonts w:ascii="Rockwell Nova Light" w:hAnsi="Rockwell Nova Light" w:cstheme="minorHAnsi"/>
        </w:rPr>
        <w:t xml:space="preserve">. For the first time, the report revealed an account of how much each country loses annually to tax evasion and corporate tax abuse. </w:t>
      </w:r>
      <w:r w:rsidR="00D23C9A">
        <w:rPr>
          <w:rFonts w:ascii="Rockwell Nova Light" w:hAnsi="Rockwell Nova Light" w:cstheme="minorHAnsi"/>
        </w:rPr>
        <w:t>T</w:t>
      </w:r>
      <w:r w:rsidR="00F15816">
        <w:rPr>
          <w:rFonts w:ascii="Rockwell Nova Light" w:hAnsi="Rockwell Nova Light" w:cstheme="minorHAnsi"/>
        </w:rPr>
        <w:t>here is no recorded corporate tax abuse, making it the only country of the 74 strongest offenders of</w:t>
      </w:r>
      <w:r w:rsidR="00D23C9A">
        <w:rPr>
          <w:rFonts w:ascii="Rockwell Nova Light" w:hAnsi="Rockwell Nova Light" w:cstheme="minorHAnsi"/>
        </w:rPr>
        <w:t xml:space="preserve"> overall</w:t>
      </w:r>
      <w:r w:rsidR="00F15816">
        <w:rPr>
          <w:rFonts w:ascii="Rockwell Nova Light" w:hAnsi="Rockwell Nova Light" w:cstheme="minorHAnsi"/>
        </w:rPr>
        <w:t xml:space="preserve"> tax abuse</w:t>
      </w:r>
      <w:r w:rsidR="00D23C9A">
        <w:rPr>
          <w:rFonts w:ascii="Rockwell Nova Light" w:hAnsi="Rockwell Nova Light" w:cstheme="minorHAnsi"/>
        </w:rPr>
        <w:t>. However,</w:t>
      </w:r>
      <w:r w:rsidR="00F15816" w:rsidRPr="00F15816">
        <w:rPr>
          <w:rFonts w:ascii="Rockwell Nova Light" w:hAnsi="Rockwell Nova Light" w:cstheme="minorHAnsi"/>
        </w:rPr>
        <w:t xml:space="preserve"> </w:t>
      </w:r>
      <w:r w:rsidR="00F15816">
        <w:rPr>
          <w:rFonts w:ascii="Rockwell Nova Light" w:hAnsi="Rockwell Nova Light" w:cstheme="minorHAnsi"/>
        </w:rPr>
        <w:t>the USA is ranked 2</w:t>
      </w:r>
      <w:r w:rsidR="00F15816" w:rsidRPr="00F15816">
        <w:rPr>
          <w:rFonts w:ascii="Rockwell Nova Light" w:hAnsi="Rockwell Nova Light" w:cstheme="minorHAnsi"/>
          <w:vertAlign w:val="superscript"/>
        </w:rPr>
        <w:t>nd</w:t>
      </w:r>
      <w:r w:rsidR="00F15816">
        <w:rPr>
          <w:rFonts w:ascii="Rockwell Nova Light" w:hAnsi="Rockwell Nova Light" w:cstheme="minorHAnsi"/>
        </w:rPr>
        <w:t xml:space="preserve"> on the Financial Secrecy Index, which ranks countries by how strongly their financial systems allow individuals to hide their finances from the law</w:t>
      </w:r>
      <w:r w:rsidR="00D23C9A">
        <w:rPr>
          <w:rFonts w:ascii="Rockwell Nova Light" w:hAnsi="Rockwell Nova Light" w:cstheme="minorHAnsi"/>
        </w:rPr>
        <w:t xml:space="preserve">. </w:t>
      </w:r>
    </w:p>
    <w:p w14:paraId="04A7C405" w14:textId="3F7D1B85" w:rsidR="006D50AC" w:rsidRDefault="006D50AC" w:rsidP="006D50AC">
      <w:pPr>
        <w:rPr>
          <w:rFonts w:ascii="Rockwell Nova Light" w:hAnsi="Rockwell Nova Light"/>
          <w:u w:val="single"/>
        </w:rPr>
      </w:pPr>
    </w:p>
    <w:p w14:paraId="4D647CCA" w14:textId="17ECC8F3" w:rsidR="00CD3309" w:rsidRDefault="00CD3309">
      <w:r>
        <w:br w:type="page"/>
      </w:r>
    </w:p>
    <w:p w14:paraId="09D6E928" w14:textId="6E82F6EB" w:rsidR="00CD3309" w:rsidRDefault="00CD3309" w:rsidP="00CD3309">
      <w:pPr>
        <w:rPr>
          <w:rFonts w:ascii="Rockwell Nova Light" w:hAnsi="Rockwell Nova Light" w:cstheme="minorHAnsi"/>
          <w:b/>
          <w:bCs/>
          <w:sz w:val="28"/>
          <w:szCs w:val="28"/>
        </w:rPr>
      </w:pPr>
      <w:r w:rsidRPr="00643D6F">
        <w:rPr>
          <w:rFonts w:ascii="Rockwell Nova Light" w:hAnsi="Rockwell Nova Light" w:cstheme="minorHAnsi"/>
          <w:b/>
          <w:bCs/>
          <w:sz w:val="28"/>
          <w:szCs w:val="28"/>
        </w:rPr>
        <w:lastRenderedPageBreak/>
        <w:t xml:space="preserve">Harm caused by </w:t>
      </w:r>
      <w:r w:rsidR="00EC60DE">
        <w:rPr>
          <w:rFonts w:ascii="Rockwell Nova Light" w:hAnsi="Rockwell Nova Light" w:cstheme="minorHAnsi"/>
          <w:b/>
          <w:bCs/>
          <w:sz w:val="28"/>
          <w:szCs w:val="28"/>
        </w:rPr>
        <w:t>the USA</w:t>
      </w:r>
      <w:r w:rsidR="00EC60DE" w:rsidRPr="00643D6F">
        <w:rPr>
          <w:rFonts w:ascii="Rockwell Nova Light" w:hAnsi="Rockwell Nova Light" w:cstheme="minorHAnsi"/>
          <w:b/>
          <w:bCs/>
          <w:sz w:val="28"/>
          <w:szCs w:val="28"/>
        </w:rPr>
        <w:t>’</w:t>
      </w:r>
      <w:r w:rsidR="009426F5">
        <w:rPr>
          <w:rFonts w:ascii="Rockwell Nova Light" w:hAnsi="Rockwell Nova Light" w:cstheme="minorHAnsi"/>
          <w:b/>
          <w:bCs/>
          <w:sz w:val="28"/>
          <w:szCs w:val="28"/>
        </w:rPr>
        <w:t>s</w:t>
      </w:r>
      <w:r w:rsidR="00CF3C37">
        <w:rPr>
          <w:rFonts w:ascii="Rockwell Nova Light" w:hAnsi="Rockwell Nova Light" w:cstheme="minorHAnsi"/>
          <w:b/>
          <w:bCs/>
          <w:sz w:val="28"/>
          <w:szCs w:val="28"/>
        </w:rPr>
        <w:t xml:space="preserve"> </w:t>
      </w:r>
      <w:r w:rsidRPr="00643D6F">
        <w:rPr>
          <w:rFonts w:ascii="Rockwell Nova Light" w:hAnsi="Rockwell Nova Light" w:cstheme="minorHAnsi"/>
          <w:b/>
          <w:bCs/>
          <w:sz w:val="28"/>
          <w:szCs w:val="28"/>
        </w:rPr>
        <w:t>tax policies</w:t>
      </w:r>
    </w:p>
    <w:p w14:paraId="6EFCE0F5" w14:textId="52D75ECC" w:rsidR="00FB770A" w:rsidRDefault="00EC60DE" w:rsidP="00C50CCE">
      <w:pPr>
        <w:rPr>
          <w:rFonts w:ascii="Segoe UI" w:hAnsi="Segoe UI" w:cs="Segoe UI"/>
          <w:sz w:val="18"/>
          <w:szCs w:val="18"/>
        </w:rPr>
      </w:pPr>
      <w:r>
        <w:rPr>
          <w:rFonts w:ascii="Rockwell Nova Light" w:hAnsi="Rockwell Nova Light"/>
        </w:rPr>
        <w:t>Using</w:t>
      </w:r>
      <w:r w:rsidR="00CD3309" w:rsidRPr="00BA1AAC">
        <w:rPr>
          <w:rFonts w:ascii="Rockwell Nova Light" w:hAnsi="Rockwell Nova Light"/>
        </w:rPr>
        <w:t xml:space="preserve"> the figure provided by the SO</w:t>
      </w:r>
      <w:r w:rsidR="00CD3309">
        <w:rPr>
          <w:rFonts w:ascii="Rockwell Nova Light" w:hAnsi="Rockwell Nova Light"/>
        </w:rPr>
        <w:t>T</w:t>
      </w:r>
      <w:r w:rsidR="00CD3309" w:rsidRPr="00BA1AAC">
        <w:rPr>
          <w:rFonts w:ascii="Rockwell Nova Light" w:hAnsi="Rockwell Nova Light"/>
        </w:rPr>
        <w:t>J to demonstrate</w:t>
      </w:r>
      <w:r>
        <w:rPr>
          <w:rFonts w:ascii="Rockwell Nova Light" w:hAnsi="Rockwell Nova Light"/>
        </w:rPr>
        <w:t xml:space="preserve">, </w:t>
      </w:r>
      <w:r w:rsidR="00CD3309" w:rsidRPr="00BA1AAC">
        <w:rPr>
          <w:rFonts w:ascii="Rockwell Nova Light" w:hAnsi="Rockwell Nova Light"/>
        </w:rPr>
        <w:t xml:space="preserve">we calculated </w:t>
      </w:r>
      <w:r w:rsidR="00CF3C37">
        <w:rPr>
          <w:rFonts w:ascii="Rockwell Nova Light" w:hAnsi="Rockwell Nova Light"/>
        </w:rPr>
        <w:t xml:space="preserve">the </w:t>
      </w:r>
      <w:r>
        <w:rPr>
          <w:rFonts w:ascii="Rockwell Nova Light" w:hAnsi="Rockwell Nova Light"/>
        </w:rPr>
        <w:t>USA’</w:t>
      </w:r>
      <w:r w:rsidR="00CD3309" w:rsidRPr="00BA1AAC">
        <w:rPr>
          <w:rFonts w:ascii="Rockwell Nova Light" w:hAnsi="Rockwell Nova Light"/>
        </w:rPr>
        <w:t xml:space="preserve"> share in global harm caused through</w:t>
      </w:r>
      <w:r>
        <w:rPr>
          <w:rFonts w:ascii="Rockwell Nova Light" w:hAnsi="Rockwell Nova Light"/>
        </w:rPr>
        <w:t xml:space="preserve"> tax abuses, including</w:t>
      </w:r>
      <w:r w:rsidR="00CD3309" w:rsidRPr="00BA1AAC">
        <w:rPr>
          <w:rFonts w:ascii="Rockwell Nova Light" w:hAnsi="Rockwell Nova Light"/>
        </w:rPr>
        <w:t xml:space="preserve"> corporate tax</w:t>
      </w:r>
      <w:r w:rsidR="00DC1A50">
        <w:rPr>
          <w:rFonts w:ascii="Rockwell Nova Light" w:hAnsi="Rockwell Nova Light"/>
        </w:rPr>
        <w:t xml:space="preserve"> a</w:t>
      </w:r>
      <w:r w:rsidR="00CD3309" w:rsidRPr="00BA1AAC">
        <w:rPr>
          <w:rFonts w:ascii="Rockwell Nova Light" w:hAnsi="Rockwell Nova Light"/>
        </w:rPr>
        <w:t>voidance and tax evasion</w:t>
      </w:r>
      <w:r>
        <w:rPr>
          <w:rFonts w:ascii="Rockwell Nova Light" w:hAnsi="Rockwell Nova Light"/>
        </w:rPr>
        <w:t xml:space="preserve"> (see figure 1).</w:t>
      </w:r>
    </w:p>
    <w:p w14:paraId="7DDEAFCD" w14:textId="77777777" w:rsidR="00FB770A" w:rsidRDefault="00FB770A" w:rsidP="00FB770A">
      <w:pPr>
        <w:rPr>
          <w:rFonts w:ascii="Rockwell Nova Light" w:hAnsi="Rockwell Nova Light"/>
          <w:sz w:val="28"/>
          <w:szCs w:val="28"/>
        </w:rPr>
      </w:pPr>
      <w:r>
        <w:rPr>
          <w:noProof/>
        </w:rPr>
        <w:drawing>
          <wp:inline distT="0" distB="0" distL="0" distR="0" wp14:anchorId="00B13D66" wp14:editId="339A4E2D">
            <wp:extent cx="5486400" cy="3200400"/>
            <wp:effectExtent l="0" t="38100" r="0" b="571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5494E97" w14:textId="1B858FDD" w:rsidR="00CD3309" w:rsidRPr="005D72A9" w:rsidRDefault="008C7DF1" w:rsidP="00CD3309">
      <w:pPr>
        <w:rPr>
          <w:rFonts w:ascii="Rockwell Nova Light" w:hAnsi="Rockwell Nova Light" w:cstheme="minorHAnsi"/>
          <w:b/>
          <w:bCs/>
        </w:rPr>
      </w:pPr>
      <w:r w:rsidRPr="005D72A9">
        <w:rPr>
          <w:rFonts w:ascii="Rockwell Nova Light" w:hAnsi="Rockwell Nova Light"/>
          <w:b/>
          <w:bCs/>
        </w:rPr>
        <w:t xml:space="preserve">Figure 1 </w:t>
      </w:r>
      <w:r w:rsidR="002C2002" w:rsidRPr="005D72A9">
        <w:rPr>
          <w:rFonts w:ascii="Rockwell Nova Light" w:hAnsi="Rockwell Nova Light" w:cstheme="minorHAnsi"/>
          <w:b/>
          <w:bCs/>
        </w:rPr>
        <w:t xml:space="preserve">Harm caused by </w:t>
      </w:r>
      <w:r w:rsidR="00EC60DE">
        <w:rPr>
          <w:rFonts w:ascii="Rockwell Nova Light" w:hAnsi="Rockwell Nova Light" w:cstheme="minorHAnsi"/>
          <w:b/>
          <w:bCs/>
        </w:rPr>
        <w:t>The USA</w:t>
      </w:r>
      <w:r w:rsidR="00EC60DE" w:rsidRPr="005D72A9">
        <w:rPr>
          <w:rFonts w:ascii="Rockwell Nova Light" w:hAnsi="Rockwell Nova Light" w:cstheme="minorHAnsi"/>
          <w:b/>
          <w:bCs/>
        </w:rPr>
        <w:t>’</w:t>
      </w:r>
      <w:r w:rsidR="002C2002" w:rsidRPr="005D72A9">
        <w:rPr>
          <w:rFonts w:ascii="Rockwell Nova Light" w:hAnsi="Rockwell Nova Light" w:cstheme="minorHAnsi"/>
          <w:b/>
          <w:bCs/>
        </w:rPr>
        <w:t xml:space="preserve"> tax policies</w:t>
      </w:r>
    </w:p>
    <w:p w14:paraId="0D68433C" w14:textId="468BCED4" w:rsidR="005635CC" w:rsidRDefault="00F9266E">
      <w:pPr>
        <w:rPr>
          <w:rFonts w:ascii="Rockwell Nova Light" w:hAnsi="Rockwell Nova Light"/>
        </w:rPr>
      </w:pPr>
      <w:r w:rsidRPr="00643D6F">
        <w:rPr>
          <w:rFonts w:ascii="Rockwell Nova Light" w:hAnsi="Rockwell Nova Light"/>
        </w:rPr>
        <w:t>These figures demonstrate</w:t>
      </w:r>
      <w:r>
        <w:rPr>
          <w:rFonts w:ascii="Rockwell Nova Light" w:hAnsi="Rockwell Nova Light"/>
        </w:rPr>
        <w:t xml:space="preserve"> that </w:t>
      </w:r>
      <w:r w:rsidR="00EC60DE">
        <w:rPr>
          <w:rFonts w:ascii="Rockwell Nova Light" w:hAnsi="Rockwell Nova Light"/>
        </w:rPr>
        <w:t>The USA</w:t>
      </w:r>
      <w:r>
        <w:rPr>
          <w:rFonts w:ascii="Rockwell Nova Light" w:hAnsi="Rockwell Nova Light"/>
        </w:rPr>
        <w:t xml:space="preserve"> play a significant part in the harm caused to other countries through tax abuses. </w:t>
      </w:r>
      <w:r w:rsidR="00F77340">
        <w:rPr>
          <w:rFonts w:ascii="Rockwell Nova Light" w:hAnsi="Rockwell Nova Light"/>
        </w:rPr>
        <w:t>A</w:t>
      </w:r>
      <w:r>
        <w:rPr>
          <w:rFonts w:ascii="Rockwell Nova Light" w:hAnsi="Rockwell Nova Light"/>
        </w:rPr>
        <w:t xml:space="preserve">t </w:t>
      </w:r>
      <w:r w:rsidR="00381EF2">
        <w:rPr>
          <w:rFonts w:ascii="Rockwell Nova Light" w:hAnsi="Rockwell Nova Light"/>
        </w:rPr>
        <w:t>3</w:t>
      </w:r>
      <w:r>
        <w:rPr>
          <w:rFonts w:ascii="Rockwell Nova Light" w:hAnsi="Rockwell Nova Light"/>
        </w:rPr>
        <w:t xml:space="preserve">% of the global total, </w:t>
      </w:r>
      <w:r w:rsidR="00B54C87">
        <w:rPr>
          <w:rFonts w:ascii="Rockwell Nova Light" w:hAnsi="Rockwell Nova Light"/>
        </w:rPr>
        <w:t>4</w:t>
      </w:r>
      <w:r w:rsidR="005821EA">
        <w:rPr>
          <w:rFonts w:ascii="Rockwell Nova Light" w:hAnsi="Rockwell Nova Light"/>
        </w:rPr>
        <w:t>%</w:t>
      </w:r>
      <w:r>
        <w:rPr>
          <w:rFonts w:ascii="Rockwell Nova Light" w:hAnsi="Rockwell Nova Light"/>
        </w:rPr>
        <w:t xml:space="preserve"> of global corporate tax abuse and </w:t>
      </w:r>
      <w:r w:rsidR="00B54C87">
        <w:rPr>
          <w:rFonts w:ascii="Rockwell Nova Light" w:hAnsi="Rockwell Nova Light"/>
        </w:rPr>
        <w:t>1</w:t>
      </w:r>
      <w:r>
        <w:rPr>
          <w:rFonts w:ascii="Rockwell Nova Light" w:hAnsi="Rockwell Nova Light"/>
        </w:rPr>
        <w:t xml:space="preserve">% of global tax evasion, </w:t>
      </w:r>
      <w:r w:rsidR="00EC60DE">
        <w:rPr>
          <w:rFonts w:ascii="Rockwell Nova Light" w:hAnsi="Rockwell Nova Light"/>
        </w:rPr>
        <w:t>The USA</w:t>
      </w:r>
      <w:r w:rsidR="00FD32C3">
        <w:rPr>
          <w:rFonts w:ascii="Rockwell Nova Light" w:hAnsi="Rockwell Nova Light"/>
        </w:rPr>
        <w:t xml:space="preserve"> plays</w:t>
      </w:r>
      <w:r w:rsidR="00F77340">
        <w:rPr>
          <w:rFonts w:ascii="Rockwell Nova Light" w:hAnsi="Rockwell Nova Light"/>
        </w:rPr>
        <w:t xml:space="preserve"> </w:t>
      </w:r>
      <w:r w:rsidR="00D22EF6">
        <w:rPr>
          <w:rFonts w:ascii="Rockwell Nova Light" w:hAnsi="Rockwell Nova Light"/>
        </w:rPr>
        <w:t xml:space="preserve">a </w:t>
      </w:r>
      <w:r w:rsidR="00381EF2">
        <w:rPr>
          <w:rFonts w:ascii="Rockwell Nova Light" w:hAnsi="Rockwell Nova Light"/>
        </w:rPr>
        <w:t>seemingly small</w:t>
      </w:r>
      <w:r w:rsidR="00D22EF6">
        <w:rPr>
          <w:rFonts w:ascii="Rockwell Nova Light" w:hAnsi="Rockwell Nova Light"/>
        </w:rPr>
        <w:t xml:space="preserve"> </w:t>
      </w:r>
      <w:r w:rsidR="00572E12">
        <w:rPr>
          <w:rFonts w:ascii="Rockwell Nova Light" w:hAnsi="Rockwell Nova Light"/>
        </w:rPr>
        <w:t xml:space="preserve">role in the world </w:t>
      </w:r>
      <w:r w:rsidR="005821EA">
        <w:rPr>
          <w:rFonts w:ascii="Rockwell Nova Light" w:hAnsi="Rockwell Nova Light"/>
        </w:rPr>
        <w:t>in the harm done to other countries through tax abuses.</w:t>
      </w:r>
      <w:r w:rsidR="00572E12">
        <w:rPr>
          <w:rFonts w:ascii="Rockwell Nova Light" w:hAnsi="Rockwell Nova Light"/>
        </w:rPr>
        <w:t xml:space="preserve"> </w:t>
      </w:r>
      <w:r w:rsidR="00381EF2">
        <w:rPr>
          <w:rFonts w:ascii="Rockwell Nova Light" w:hAnsi="Rockwell Nova Light"/>
        </w:rPr>
        <w:t>However, t</w:t>
      </w:r>
      <w:r>
        <w:rPr>
          <w:rFonts w:ascii="Rockwell Nova Light" w:hAnsi="Rockwell Nova Light"/>
        </w:rPr>
        <w:t xml:space="preserve">he impact of </w:t>
      </w:r>
      <w:r w:rsidR="003442FC">
        <w:rPr>
          <w:rFonts w:ascii="Rockwell Nova Light" w:hAnsi="Rockwell Nova Light"/>
        </w:rPr>
        <w:t xml:space="preserve">curtailing </w:t>
      </w:r>
      <w:r>
        <w:rPr>
          <w:rFonts w:ascii="Rockwell Nova Light" w:hAnsi="Rockwell Nova Light"/>
        </w:rPr>
        <w:t xml:space="preserve">these </w:t>
      </w:r>
      <w:r w:rsidR="003442FC">
        <w:rPr>
          <w:rFonts w:ascii="Rockwell Nova Light" w:hAnsi="Rockwell Nova Light"/>
        </w:rPr>
        <w:t xml:space="preserve">losses </w:t>
      </w:r>
      <w:r>
        <w:rPr>
          <w:rFonts w:ascii="Rockwell Nova Light" w:hAnsi="Rockwell Nova Light"/>
        </w:rPr>
        <w:t>in</w:t>
      </w:r>
      <w:r w:rsidR="00625A6D">
        <w:rPr>
          <w:rFonts w:ascii="Rockwell Nova Light" w:hAnsi="Rockwell Nova Light"/>
        </w:rPr>
        <w:t xml:space="preserve"> </w:t>
      </w:r>
      <w:r w:rsidR="00625A6D">
        <w:rPr>
          <w:rFonts w:ascii="Rockwell Nova Light" w:hAnsi="Rockwell Nova Light" w:cstheme="minorHAnsi"/>
        </w:rPr>
        <w:t>low-income-countries</w:t>
      </w:r>
      <w:r>
        <w:rPr>
          <w:rFonts w:ascii="Rockwell Nova Light" w:hAnsi="Rockwell Nova Light"/>
        </w:rPr>
        <w:t xml:space="preserve"> could make a great difference i</w:t>
      </w:r>
      <w:r w:rsidR="005821EA">
        <w:rPr>
          <w:rFonts w:ascii="Rockwell Nova Light" w:hAnsi="Rockwell Nova Light"/>
        </w:rPr>
        <w:t>n</w:t>
      </w:r>
      <w:r>
        <w:rPr>
          <w:rFonts w:ascii="Rockwell Nova Light" w:hAnsi="Rockwell Nova Light"/>
        </w:rPr>
        <w:t xml:space="preserve"> </w:t>
      </w:r>
      <w:r w:rsidR="005821EA">
        <w:rPr>
          <w:rFonts w:ascii="Rockwell Nova Light" w:hAnsi="Rockwell Nova Light"/>
        </w:rPr>
        <w:t>their</w:t>
      </w:r>
      <w:r>
        <w:rPr>
          <w:rFonts w:ascii="Rockwell Nova Light" w:hAnsi="Rockwell Nova Light"/>
        </w:rPr>
        <w:t xml:space="preserve"> ability to provide healthcare and education and reduce mortality rates</w:t>
      </w:r>
      <w:r w:rsidRPr="001F4020">
        <w:rPr>
          <w:rFonts w:ascii="Rockwell Nova Light" w:hAnsi="Rockwell Nova Light"/>
        </w:rPr>
        <w:t xml:space="preserve">. </w:t>
      </w:r>
      <w:r w:rsidRPr="00590D1A">
        <w:rPr>
          <w:rFonts w:ascii="Rockwell Nova Light" w:hAnsi="Rockwell Nova Light"/>
        </w:rPr>
        <w:t xml:space="preserve">If only a small amount of the </w:t>
      </w:r>
      <w:r w:rsidR="006A6286" w:rsidRPr="00590D1A">
        <w:rPr>
          <w:rFonts w:ascii="Rockwell Nova Light" w:hAnsi="Rockwell Nova Light"/>
        </w:rPr>
        <w:t>$</w:t>
      </w:r>
      <w:r w:rsidR="00381EF2">
        <w:rPr>
          <w:rFonts w:ascii="Rockwell Nova Light" w:hAnsi="Rockwell Nova Light"/>
        </w:rPr>
        <w:t>13</w:t>
      </w:r>
      <w:r w:rsidR="006A6286" w:rsidRPr="00590D1A">
        <w:rPr>
          <w:rFonts w:ascii="Rockwell Nova Light" w:hAnsi="Rockwell Nova Light"/>
        </w:rPr>
        <w:t xml:space="preserve"> billion</w:t>
      </w:r>
      <w:r w:rsidRPr="00590D1A">
        <w:rPr>
          <w:rFonts w:ascii="Rockwell Nova Light" w:hAnsi="Rockwell Nova Light"/>
        </w:rPr>
        <w:t xml:space="preserve"> lost to tax abuse</w:t>
      </w:r>
      <w:r w:rsidR="00572E12" w:rsidRPr="00590D1A">
        <w:rPr>
          <w:rFonts w:ascii="Rockwell Nova Light" w:hAnsi="Rockwell Nova Light"/>
        </w:rPr>
        <w:t xml:space="preserve"> by </w:t>
      </w:r>
      <w:r w:rsidR="00EC60DE">
        <w:rPr>
          <w:rFonts w:ascii="Rockwell Nova Light" w:hAnsi="Rockwell Nova Light"/>
        </w:rPr>
        <w:t>The USA</w:t>
      </w:r>
      <w:r w:rsidRPr="00590D1A">
        <w:rPr>
          <w:rFonts w:ascii="Rockwell Nova Light" w:hAnsi="Rockwell Nova Light"/>
        </w:rPr>
        <w:t xml:space="preserve"> were </w:t>
      </w:r>
      <w:r w:rsidR="00212E7F">
        <w:rPr>
          <w:rFonts w:ascii="Rockwell Nova Light" w:hAnsi="Rockwell Nova Light"/>
        </w:rPr>
        <w:t>available to governments</w:t>
      </w:r>
      <w:r w:rsidRPr="00590D1A">
        <w:rPr>
          <w:rFonts w:ascii="Rockwell Nova Light" w:hAnsi="Rockwell Nova Light"/>
        </w:rPr>
        <w:t xml:space="preserve"> in these countries, it could potentially have a significant</w:t>
      </w:r>
      <w:r w:rsidR="00572E12" w:rsidRPr="00590D1A">
        <w:rPr>
          <w:rFonts w:ascii="Rockwell Nova Light" w:hAnsi="Rockwell Nova Light"/>
        </w:rPr>
        <w:t xml:space="preserve"> </w:t>
      </w:r>
      <w:r w:rsidR="00CF3C37" w:rsidRPr="00590D1A">
        <w:rPr>
          <w:rFonts w:ascii="Rockwell Nova Light" w:hAnsi="Rockwell Nova Light"/>
        </w:rPr>
        <w:t>and long-lasting</w:t>
      </w:r>
      <w:r w:rsidRPr="00590D1A">
        <w:rPr>
          <w:rFonts w:ascii="Rockwell Nova Light" w:hAnsi="Rockwell Nova Light"/>
        </w:rPr>
        <w:t xml:space="preserve"> impact</w:t>
      </w:r>
      <w:r w:rsidR="0000252F" w:rsidRPr="00450BA0">
        <w:rPr>
          <w:rFonts w:ascii="Rockwell Nova Light" w:hAnsi="Rockwell Nova Light"/>
        </w:rPr>
        <w:t>.</w:t>
      </w:r>
      <w:r w:rsidR="00450BA0" w:rsidRPr="00450BA0">
        <w:rPr>
          <w:rStyle w:val="normaltextrun"/>
          <w:rFonts w:ascii="Rockwell Nova Light" w:hAnsi="Rockwell Nova Light" w:cs="Calibri"/>
          <w:color w:val="000000"/>
        </w:rPr>
        <w:t xml:space="preserve"> If the total tax abuse were to be distributed equally across all</w:t>
      </w:r>
      <w:r w:rsidR="00EB08F1">
        <w:rPr>
          <w:rStyle w:val="normaltextrun"/>
          <w:rFonts w:ascii="Rockwell Nova Light" w:hAnsi="Rockwell Nova Light" w:cs="Calibri"/>
          <w:color w:val="000000"/>
        </w:rPr>
        <w:t xml:space="preserve"> 7.6 billion</w:t>
      </w:r>
      <w:r w:rsidR="00450BA0" w:rsidRPr="00450BA0">
        <w:rPr>
          <w:rStyle w:val="normaltextrun"/>
          <w:rFonts w:ascii="Rockwell Nova Light" w:hAnsi="Rockwell Nova Light" w:cs="Calibri"/>
          <w:color w:val="000000"/>
        </w:rPr>
        <w:t xml:space="preserve"> global citizens, it could increase</w:t>
      </w:r>
      <w:r w:rsidR="00574C2E">
        <w:rPr>
          <w:rStyle w:val="normaltextrun"/>
          <w:rFonts w:ascii="Rockwell Nova Light" w:hAnsi="Rockwell Nova Light" w:cs="Calibri"/>
          <w:color w:val="000000"/>
        </w:rPr>
        <w:t xml:space="preserve"> government</w:t>
      </w:r>
      <w:r w:rsidR="00450BA0" w:rsidRPr="00450BA0">
        <w:rPr>
          <w:rStyle w:val="normaltextrun"/>
          <w:rFonts w:ascii="Rockwell Nova Light" w:hAnsi="Rockwell Nova Light" w:cs="Calibri"/>
          <w:color w:val="000000"/>
        </w:rPr>
        <w:t xml:space="preserve"> revenue per capita by $</w:t>
      </w:r>
      <w:r w:rsidR="00B62538">
        <w:rPr>
          <w:rStyle w:val="normaltextrun"/>
          <w:rFonts w:ascii="Rockwell Nova Light" w:hAnsi="Rockwell Nova Light" w:cs="Calibri"/>
          <w:color w:val="000000"/>
        </w:rPr>
        <w:t>1.67</w:t>
      </w:r>
      <w:r w:rsidR="00450BA0" w:rsidRPr="00450BA0">
        <w:rPr>
          <w:rStyle w:val="normaltextrun"/>
          <w:rFonts w:ascii="Rockwell Nova Light" w:hAnsi="Rockwell Nova Light" w:cs="Calibri"/>
          <w:color w:val="000000"/>
        </w:rPr>
        <w:t xml:space="preserve">. Considering that the average </w:t>
      </w:r>
      <w:r w:rsidR="00075649">
        <w:rPr>
          <w:rStyle w:val="normaltextrun"/>
          <w:rFonts w:ascii="Rockwell Nova Light" w:hAnsi="Rockwell Nova Light" w:cs="Calibri"/>
          <w:color w:val="000000"/>
        </w:rPr>
        <w:t>government revenue</w:t>
      </w:r>
      <w:r w:rsidR="00450BA0" w:rsidRPr="00450BA0">
        <w:rPr>
          <w:rStyle w:val="normaltextrun"/>
          <w:rFonts w:ascii="Rockwell Nova Light" w:hAnsi="Rockwell Nova Light" w:cs="Calibri"/>
          <w:color w:val="000000"/>
        </w:rPr>
        <w:t xml:space="preserve"> per capita in low-income-countries lies at $116, this would amount to an increase of </w:t>
      </w:r>
      <w:r w:rsidR="00BD676A">
        <w:rPr>
          <w:rStyle w:val="normaltextrun"/>
          <w:rFonts w:ascii="Rockwell Nova Light" w:hAnsi="Rockwell Nova Light" w:cs="Calibri"/>
          <w:color w:val="000000"/>
        </w:rPr>
        <w:t>1.4</w:t>
      </w:r>
      <w:r w:rsidR="00450BA0" w:rsidRPr="00450BA0">
        <w:rPr>
          <w:rStyle w:val="normaltextrun"/>
          <w:rFonts w:ascii="Rockwell Nova Light" w:hAnsi="Rockwell Nova Light" w:cs="Calibri"/>
          <w:color w:val="000000"/>
        </w:rPr>
        <w:t>%.</w:t>
      </w:r>
      <w:r w:rsidRPr="00450BA0">
        <w:rPr>
          <w:rFonts w:ascii="Rockwell Nova Light" w:hAnsi="Rockwell Nova Light"/>
        </w:rPr>
        <w:t xml:space="preserve"> </w:t>
      </w:r>
      <w:r>
        <w:rPr>
          <w:rFonts w:ascii="Rockwell Nova Light" w:hAnsi="Rockwell Nova Light"/>
        </w:rPr>
        <w:t>Previous studies have demonstrated noticeable long-term impacts, with an increase of only 10% in national tax revenue leading to a 17% increase in public health expenditure in low-income- countries</w:t>
      </w:r>
      <w:r w:rsidR="0000252F">
        <w:rPr>
          <w:rFonts w:ascii="Rockwell Nova Light" w:hAnsi="Rockwell Nova Light"/>
        </w:rPr>
        <w:t xml:space="preserve"> </w:t>
      </w:r>
      <w:hyperlink r:id="rId20">
        <w:r w:rsidR="00245562" w:rsidRPr="14422058">
          <w:rPr>
            <w:rStyle w:val="Hyperlink"/>
            <w:rFonts w:ascii="Rockwell Nova Light" w:hAnsi="Rockwell Nova Light"/>
          </w:rPr>
          <w:t>(Tamarapoo et al., 2016).</w:t>
        </w:r>
      </w:hyperlink>
      <w:r w:rsidR="00245562" w:rsidRPr="00245562">
        <w:rPr>
          <w:rStyle w:val="Hyperlink"/>
          <w:rFonts w:ascii="Rockwell Nova Light" w:hAnsi="Rockwell Nova Light"/>
          <w:color w:val="auto"/>
          <w:u w:val="none"/>
        </w:rPr>
        <w:t xml:space="preserve"> </w:t>
      </w:r>
      <w:r w:rsidR="00672C99">
        <w:rPr>
          <w:rStyle w:val="Hyperlink"/>
          <w:rFonts w:ascii="Rockwell Nova Light" w:hAnsi="Rockwell Nova Light"/>
          <w:color w:val="auto"/>
          <w:u w:val="none"/>
        </w:rPr>
        <w:t>A</w:t>
      </w:r>
      <w:r w:rsidR="00FC34ED">
        <w:rPr>
          <w:rStyle w:val="Hyperlink"/>
          <w:rFonts w:ascii="Rockwell Nova Light" w:hAnsi="Rockwell Nova Light"/>
          <w:color w:val="auto"/>
          <w:u w:val="none"/>
        </w:rPr>
        <w:t xml:space="preserve"> minor increase in </w:t>
      </w:r>
      <w:r w:rsidR="00672C99">
        <w:rPr>
          <w:rStyle w:val="Hyperlink"/>
          <w:rFonts w:ascii="Rockwell Nova Light" w:hAnsi="Rockwell Nova Light"/>
          <w:color w:val="auto"/>
          <w:u w:val="none"/>
        </w:rPr>
        <w:t>government revenue</w:t>
      </w:r>
      <w:r w:rsidR="00FC34ED">
        <w:rPr>
          <w:rStyle w:val="Hyperlink"/>
          <w:rFonts w:ascii="Rockwell Nova Light" w:hAnsi="Rockwell Nova Light"/>
          <w:color w:val="auto"/>
          <w:u w:val="none"/>
        </w:rPr>
        <w:t xml:space="preserve"> within </w:t>
      </w:r>
      <w:r w:rsidR="00F60A8E">
        <w:rPr>
          <w:rFonts w:ascii="Rockwell Nova Light" w:hAnsi="Rockwell Nova Light"/>
        </w:rPr>
        <w:t>low-income- countries</w:t>
      </w:r>
      <w:r w:rsidR="00FC34ED">
        <w:rPr>
          <w:rStyle w:val="Hyperlink"/>
          <w:rFonts w:ascii="Rockwell Nova Light" w:hAnsi="Rockwell Nova Light"/>
          <w:color w:val="auto"/>
          <w:u w:val="none"/>
        </w:rPr>
        <w:t xml:space="preserve"> will assist in the promotion of fundamental human rights</w:t>
      </w:r>
      <w:r w:rsidR="00DC4AB5">
        <w:rPr>
          <w:rStyle w:val="Hyperlink"/>
          <w:rFonts w:ascii="Rockwell Nova Light" w:hAnsi="Rockwell Nova Light"/>
          <w:color w:val="auto"/>
          <w:u w:val="none"/>
        </w:rPr>
        <w:t xml:space="preserve">, </w:t>
      </w:r>
      <w:r w:rsidR="00DE73C1">
        <w:rPr>
          <w:rStyle w:val="Hyperlink"/>
          <w:rFonts w:ascii="Rockwell Nova Light" w:hAnsi="Rockwell Nova Light"/>
          <w:color w:val="auto"/>
          <w:u w:val="none"/>
        </w:rPr>
        <w:t>a condition of treaties</w:t>
      </w:r>
      <w:r w:rsidR="008A582B">
        <w:rPr>
          <w:rStyle w:val="Hyperlink"/>
          <w:rFonts w:ascii="Rockwell Nova Light" w:hAnsi="Rockwell Nova Light"/>
          <w:color w:val="auto"/>
          <w:u w:val="none"/>
        </w:rPr>
        <w:t xml:space="preserve"> such as </w:t>
      </w:r>
      <w:r w:rsidR="00384949">
        <w:rPr>
          <w:rStyle w:val="Hyperlink"/>
          <w:rFonts w:ascii="Rockwell Nova Light" w:hAnsi="Rockwell Nova Light"/>
          <w:color w:val="auto"/>
          <w:u w:val="none"/>
        </w:rPr>
        <w:t xml:space="preserve">the </w:t>
      </w:r>
      <w:r w:rsidR="00384949">
        <w:rPr>
          <w:rFonts w:ascii="Rockwell Nova Light" w:hAnsi="Rockwell Nova Light"/>
        </w:rPr>
        <w:t xml:space="preserve">Universal Declaration of Human Rights and the United Nations Convention for the Rights of the Child, it is vital that </w:t>
      </w:r>
      <w:r w:rsidR="00C25EC2">
        <w:rPr>
          <w:rFonts w:ascii="Rockwell Nova Light" w:hAnsi="Rockwell Nova Light"/>
        </w:rPr>
        <w:t xml:space="preserve">the impact of tax abuses is recognised. </w:t>
      </w:r>
    </w:p>
    <w:p w14:paraId="1B139936" w14:textId="65085A5E" w:rsidR="00F9266E" w:rsidRDefault="00F9266E" w:rsidP="00F9266E">
      <w:pPr>
        <w:jc w:val="center"/>
        <w:rPr>
          <w:rFonts w:ascii="Rockwell Nova Light" w:eastAsia="Times New Roman" w:hAnsi="Rockwell Nova Light" w:cs="Arial"/>
          <w:b/>
          <w:bCs/>
          <w:sz w:val="28"/>
          <w:szCs w:val="28"/>
        </w:rPr>
      </w:pPr>
      <w:r w:rsidRPr="00D705F0">
        <w:rPr>
          <w:rFonts w:ascii="Rockwell Nova Light" w:eastAsia="Times New Roman" w:hAnsi="Rockwell Nova Light" w:cs="Arial"/>
          <w:b/>
          <w:bCs/>
          <w:sz w:val="28"/>
          <w:szCs w:val="28"/>
          <w:shd w:val="clear" w:color="auto" w:fill="FFFFFF"/>
        </w:rPr>
        <w:lastRenderedPageBreak/>
        <w:t>Increased coverage of the determinants of health and the number of child deaths averted associated with an </w:t>
      </w:r>
      <w:r w:rsidRPr="00D705F0">
        <w:rPr>
          <w:rFonts w:ascii="Rockwell Nova Light" w:eastAsia="Times New Roman" w:hAnsi="Rockwell Nova Light" w:cs="Arial"/>
          <w:b/>
          <w:bCs/>
          <w:sz w:val="28"/>
          <w:szCs w:val="28"/>
        </w:rPr>
        <w:t xml:space="preserve">increase in government revenue equivalent to the proportion of global tax abuse attributable to </w:t>
      </w:r>
      <w:r w:rsidR="00EC60DE">
        <w:rPr>
          <w:rFonts w:ascii="Rockwell Nova Light" w:eastAsia="Times New Roman" w:hAnsi="Rockwell Nova Light" w:cs="Arial"/>
          <w:b/>
          <w:bCs/>
          <w:sz w:val="28"/>
          <w:szCs w:val="28"/>
        </w:rPr>
        <w:t>the USA</w:t>
      </w:r>
      <w:r>
        <w:rPr>
          <w:rFonts w:ascii="Rockwell Nova Light" w:eastAsia="Times New Roman" w:hAnsi="Rockwell Nova Light" w:cs="Arial"/>
          <w:b/>
          <w:bCs/>
          <w:sz w:val="28"/>
          <w:szCs w:val="28"/>
        </w:rPr>
        <w:t xml:space="preserve"> (10-year projection)</w:t>
      </w:r>
    </w:p>
    <w:p w14:paraId="745521D4" w14:textId="77777777" w:rsidR="00FB770A" w:rsidRDefault="00FB770A" w:rsidP="00FB770A">
      <w:pPr>
        <w:rPr>
          <w:rFonts w:ascii="Rockwell Nova Light" w:hAnsi="Rockwell Nova Light"/>
          <w:sz w:val="28"/>
          <w:szCs w:val="28"/>
        </w:rPr>
      </w:pPr>
      <w:r w:rsidRPr="005C2B35">
        <w:rPr>
          <w:rFonts w:ascii="Abadi Extra Light" w:hAnsi="Abadi Extra Light"/>
          <w:noProof/>
        </w:rPr>
        <w:drawing>
          <wp:inline distT="0" distB="0" distL="0" distR="0" wp14:anchorId="3A5A2DDC" wp14:editId="1FB43CF0">
            <wp:extent cx="4667534" cy="1692323"/>
            <wp:effectExtent l="0" t="0" r="1905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0FFA766" w14:textId="77777777" w:rsidR="00FB770A" w:rsidRPr="0028360A" w:rsidRDefault="00FB770A" w:rsidP="00FB770A">
      <w:pPr>
        <w:rPr>
          <w:rFonts w:ascii="Rockwell Nova Light" w:hAnsi="Rockwell Nova Light"/>
          <w:sz w:val="28"/>
          <w:szCs w:val="28"/>
        </w:rPr>
      </w:pPr>
      <w:r>
        <w:rPr>
          <w:rFonts w:ascii="Rockwell Nova Light" w:hAnsi="Rockwell Nova Light"/>
          <w:noProof/>
          <w:sz w:val="28"/>
          <w:szCs w:val="28"/>
        </w:rPr>
        <w:drawing>
          <wp:inline distT="0" distB="0" distL="0" distR="0" wp14:anchorId="3B60349A" wp14:editId="3B2CE723">
            <wp:extent cx="2938145" cy="3254016"/>
            <wp:effectExtent l="0" t="0" r="14605" b="38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B55B1">
        <w:rPr>
          <w:rFonts w:ascii="Abadi Extra Light" w:hAnsi="Abadi Extra Light"/>
          <w:noProof/>
          <w:sz w:val="28"/>
          <w:szCs w:val="28"/>
        </w:rPr>
        <w:drawing>
          <wp:inline distT="0" distB="0" distL="0" distR="0" wp14:anchorId="3EFC4A8D" wp14:editId="294ACE4D">
            <wp:extent cx="2697480" cy="3234883"/>
            <wp:effectExtent l="0" t="0" r="7620" b="381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B8647F9" w14:textId="5640A2A8" w:rsidR="00F9266E" w:rsidRPr="009B01DE" w:rsidRDefault="009B01DE" w:rsidP="0066077A">
      <w:pPr>
        <w:pStyle w:val="paragraph"/>
        <w:spacing w:before="0" w:beforeAutospacing="0" w:after="0" w:afterAutospacing="0"/>
        <w:textAlignment w:val="baseline"/>
        <w:rPr>
          <w:rFonts w:ascii="Rockwell Nova Light" w:hAnsi="Rockwell Nova Light" w:cstheme="minorHAnsi"/>
          <w:b/>
          <w:bCs/>
        </w:rPr>
      </w:pPr>
      <w:r w:rsidRPr="005D72A9">
        <w:rPr>
          <w:rFonts w:ascii="Rockwell Nova Light" w:hAnsi="Rockwell Nova Light"/>
          <w:b/>
          <w:bCs/>
        </w:rPr>
        <w:t xml:space="preserve">Figure </w:t>
      </w:r>
      <w:r w:rsidR="00DC1A50">
        <w:rPr>
          <w:rFonts w:ascii="Rockwell Nova Light" w:hAnsi="Rockwell Nova Light"/>
          <w:b/>
          <w:bCs/>
        </w:rPr>
        <w:t>2</w:t>
      </w:r>
      <w:r w:rsidRPr="005D72A9">
        <w:rPr>
          <w:rFonts w:ascii="Rockwell Nova Light" w:hAnsi="Rockwell Nova Light"/>
          <w:b/>
          <w:bCs/>
        </w:rPr>
        <w:t xml:space="preserve"> </w:t>
      </w:r>
      <w:r w:rsidR="007B1646">
        <w:rPr>
          <w:rFonts w:ascii="Rockwell Nova Light" w:hAnsi="Rockwell Nova Light"/>
          <w:b/>
          <w:bCs/>
        </w:rPr>
        <w:t xml:space="preserve">The potential of reconsidering </w:t>
      </w:r>
      <w:r w:rsidR="00EC60DE">
        <w:rPr>
          <w:rFonts w:ascii="Rockwell Nova Light" w:hAnsi="Rockwell Nova Light" w:cstheme="minorHAnsi"/>
          <w:b/>
          <w:bCs/>
        </w:rPr>
        <w:t>the USA</w:t>
      </w:r>
      <w:r w:rsidRPr="005D72A9">
        <w:rPr>
          <w:rFonts w:ascii="Rockwell Nova Light" w:hAnsi="Rockwell Nova Light" w:cstheme="minorHAnsi"/>
          <w:b/>
          <w:bCs/>
        </w:rPr>
        <w:t>’</w:t>
      </w:r>
      <w:r w:rsidR="009426F5">
        <w:rPr>
          <w:rFonts w:ascii="Rockwell Nova Light" w:hAnsi="Rockwell Nova Light" w:cstheme="minorHAnsi"/>
          <w:b/>
          <w:bCs/>
        </w:rPr>
        <w:t>s</w:t>
      </w:r>
      <w:r w:rsidRPr="005D72A9">
        <w:rPr>
          <w:rFonts w:ascii="Rockwell Nova Light" w:hAnsi="Rockwell Nova Light" w:cstheme="minorHAnsi"/>
          <w:b/>
          <w:bCs/>
        </w:rPr>
        <w:t xml:space="preserve"> tax policies</w:t>
      </w:r>
    </w:p>
    <w:p w14:paraId="414CB91B" w14:textId="08ACF6C1" w:rsidR="00FA76F5" w:rsidRPr="00EF2A5A" w:rsidRDefault="00F9266E" w:rsidP="00FA76F5">
      <w:pPr>
        <w:rPr>
          <w:rFonts w:ascii="Rockwell Nova Light" w:hAnsi="Rockwell Nova Light"/>
          <w:lang w:val="en-US"/>
        </w:rPr>
      </w:pPr>
      <w:r>
        <w:rPr>
          <w:rFonts w:ascii="Rockwell Nova Light" w:hAnsi="Rockwell Nova Light"/>
        </w:rPr>
        <w:t xml:space="preserve">We used our </w:t>
      </w:r>
      <w:hyperlink r:id="rId28" w:history="1">
        <w:r w:rsidRPr="00950019">
          <w:rPr>
            <w:rStyle w:val="Hyperlink"/>
            <w:rFonts w:ascii="Rockwell Nova Light" w:hAnsi="Rockwell Nova Light"/>
          </w:rPr>
          <w:t>GRADE tool</w:t>
        </w:r>
      </w:hyperlink>
      <w:r>
        <w:rPr>
          <w:rFonts w:ascii="Rockwell Nova Light" w:hAnsi="Rockwell Nova Light"/>
        </w:rPr>
        <w:t xml:space="preserve"> to calculate the effect of</w:t>
      </w:r>
      <w:r w:rsidR="006C3395">
        <w:rPr>
          <w:rFonts w:ascii="Rockwell Nova Light" w:hAnsi="Rockwell Nova Light"/>
        </w:rPr>
        <w:t xml:space="preserve"> </w:t>
      </w:r>
      <w:r w:rsidR="00EC60DE">
        <w:rPr>
          <w:rFonts w:ascii="Rockwell Nova Light" w:hAnsi="Rockwell Nova Light"/>
        </w:rPr>
        <w:t>the USA</w:t>
      </w:r>
      <w:r w:rsidR="006C3395">
        <w:rPr>
          <w:rFonts w:ascii="Rockwell Nova Light" w:hAnsi="Rockwell Nova Light"/>
        </w:rPr>
        <w:t>’</w:t>
      </w:r>
      <w:r w:rsidR="009426F5">
        <w:rPr>
          <w:rFonts w:ascii="Rockwell Nova Light" w:hAnsi="Rockwell Nova Light"/>
        </w:rPr>
        <w:t>s</w:t>
      </w:r>
      <w:r>
        <w:rPr>
          <w:rFonts w:ascii="Rockwell Nova Light" w:hAnsi="Rockwell Nova Light"/>
        </w:rPr>
        <w:t xml:space="preserve"> tax abuses on DOH and mortality rates of other countries. </w:t>
      </w:r>
      <w:r w:rsidR="00EC60DE">
        <w:rPr>
          <w:rFonts w:ascii="Rockwell Nova Light" w:hAnsi="Rockwell Nova Light"/>
        </w:rPr>
        <w:t>The USA</w:t>
      </w:r>
      <w:r w:rsidR="00532107">
        <w:rPr>
          <w:rFonts w:ascii="Rockwell Nova Light" w:hAnsi="Rockwell Nova Light"/>
        </w:rPr>
        <w:t xml:space="preserve"> </w:t>
      </w:r>
      <w:r w:rsidR="000E74D4">
        <w:rPr>
          <w:rFonts w:ascii="Rockwell Nova Light" w:hAnsi="Rockwell Nova Light"/>
        </w:rPr>
        <w:t xml:space="preserve">contributes </w:t>
      </w:r>
      <w:r w:rsidR="00125C63">
        <w:rPr>
          <w:rFonts w:ascii="Rockwell Nova Light" w:hAnsi="Rockwell Nova Light"/>
        </w:rPr>
        <w:t>6</w:t>
      </w:r>
      <w:r w:rsidR="002C37E1">
        <w:rPr>
          <w:rFonts w:ascii="Rockwell Nova Light" w:hAnsi="Rockwell Nova Light"/>
        </w:rPr>
        <w:t>.5</w:t>
      </w:r>
      <w:r w:rsidR="000E74D4">
        <w:rPr>
          <w:rFonts w:ascii="Rockwell Nova Light" w:hAnsi="Rockwell Nova Light"/>
        </w:rPr>
        <w:t xml:space="preserve">% </w:t>
      </w:r>
      <w:r w:rsidR="00883D4F">
        <w:rPr>
          <w:rFonts w:ascii="Rockwell Nova Light" w:hAnsi="Rockwell Nova Light"/>
        </w:rPr>
        <w:t>of the total harm through tax abuses to other countries, i</w:t>
      </w:r>
      <w:r>
        <w:rPr>
          <w:rFonts w:ascii="Rockwell Nova Light" w:hAnsi="Rockwell Nova Light"/>
        </w:rPr>
        <w:t>f the</w:t>
      </w:r>
      <w:r w:rsidR="00883D4F">
        <w:rPr>
          <w:rFonts w:ascii="Rockwell Nova Light" w:hAnsi="Rockwell Nova Light"/>
        </w:rPr>
        <w:t xml:space="preserve">y </w:t>
      </w:r>
      <w:r w:rsidR="001A668F">
        <w:rPr>
          <w:rFonts w:ascii="Rockwell Nova Light" w:hAnsi="Rockwell Nova Light"/>
        </w:rPr>
        <w:t>did not enable these tax losses annually ($</w:t>
      </w:r>
      <w:r w:rsidR="004E727A">
        <w:rPr>
          <w:rFonts w:ascii="Rockwell Nova Light" w:hAnsi="Rockwell Nova Light"/>
        </w:rPr>
        <w:t>13</w:t>
      </w:r>
      <w:r w:rsidR="001A668F">
        <w:rPr>
          <w:rFonts w:ascii="Rockwell Nova Light" w:hAnsi="Rockwell Nova Light"/>
        </w:rPr>
        <w:t xml:space="preserve"> US Billion), we estimate that over a ten-year period,</w:t>
      </w:r>
      <w:r>
        <w:rPr>
          <w:rFonts w:ascii="Rockwell Nova Light" w:hAnsi="Rockwell Nova Light"/>
        </w:rPr>
        <w:t xml:space="preserve"> </w:t>
      </w:r>
      <w:r w:rsidR="00DC0C5F" w:rsidRPr="00DC0C5F">
        <w:rPr>
          <w:rFonts w:ascii="Rockwell Nova Light" w:hAnsi="Rockwell Nova Light"/>
        </w:rPr>
        <w:t xml:space="preserve">32,725 </w:t>
      </w:r>
      <w:r>
        <w:rPr>
          <w:rFonts w:ascii="Rockwell Nova Light" w:hAnsi="Rockwell Nova Light"/>
        </w:rPr>
        <w:t>Under-5 deaths</w:t>
      </w:r>
      <w:r w:rsidR="00DC0C5F">
        <w:rPr>
          <w:rFonts w:ascii="Rockwell Nova Light" w:hAnsi="Rockwell Nova Light"/>
        </w:rPr>
        <w:t xml:space="preserve"> and 4,031 maternal deaths</w:t>
      </w:r>
      <w:r w:rsidR="001A668F">
        <w:rPr>
          <w:rFonts w:ascii="Rockwell Nova Light" w:hAnsi="Rockwell Nova Light"/>
        </w:rPr>
        <w:t xml:space="preserve"> would be averted</w:t>
      </w:r>
      <w:r w:rsidR="004F6BFC">
        <w:rPr>
          <w:rFonts w:ascii="Rockwell Nova Light" w:hAnsi="Rockwell Nova Light"/>
        </w:rPr>
        <w:t>, children would attend school for an extra</w:t>
      </w:r>
      <w:r w:rsidR="00F376B3">
        <w:rPr>
          <w:rFonts w:ascii="Rockwell Nova Light" w:hAnsi="Rockwell Nova Light"/>
        </w:rPr>
        <w:t xml:space="preserve"> </w:t>
      </w:r>
      <w:r w:rsidR="00DC0C5F" w:rsidRPr="00DC0C5F">
        <w:rPr>
          <w:rFonts w:ascii="Rockwell Nova Light" w:hAnsi="Rockwell Nova Light"/>
        </w:rPr>
        <w:t xml:space="preserve"> 181,749 </w:t>
      </w:r>
      <w:r w:rsidR="004F6BFC">
        <w:rPr>
          <w:rFonts w:ascii="Rockwell Nova Light" w:hAnsi="Rockwell Nova Light"/>
        </w:rPr>
        <w:t>year</w:t>
      </w:r>
      <w:r w:rsidR="00F91F3F">
        <w:rPr>
          <w:rFonts w:ascii="Rockwell Nova Light" w:hAnsi="Rockwell Nova Light"/>
        </w:rPr>
        <w:t xml:space="preserve">s, </w:t>
      </w:r>
      <w:r w:rsidR="00534A44" w:rsidRPr="00534A44">
        <w:rPr>
          <w:rFonts w:ascii="Rockwell Nova Light" w:hAnsi="Rockwell Nova Light"/>
        </w:rPr>
        <w:t xml:space="preserve">940,042 </w:t>
      </w:r>
      <w:r w:rsidR="00590D1A">
        <w:rPr>
          <w:rFonts w:ascii="Rockwell Nova Light" w:hAnsi="Rockwell Nova Light"/>
        </w:rPr>
        <w:t xml:space="preserve">people (of which </w:t>
      </w:r>
      <w:r w:rsidR="00534A44" w:rsidRPr="00534A44">
        <w:rPr>
          <w:rFonts w:ascii="Rockwell Nova Light" w:hAnsi="Rockwell Nova Light"/>
          <w:lang w:val="en-US"/>
        </w:rPr>
        <w:t xml:space="preserve"> 113,533 </w:t>
      </w:r>
      <w:r w:rsidR="00590D1A">
        <w:rPr>
          <w:rFonts w:ascii="Rockwell Nova Light" w:hAnsi="Rockwell Nova Light"/>
        </w:rPr>
        <w:t>are children</w:t>
      </w:r>
      <w:r w:rsidR="00534A44">
        <w:rPr>
          <w:rFonts w:ascii="Rockwell Nova Light" w:hAnsi="Rockwell Nova Light"/>
        </w:rPr>
        <w:t xml:space="preserve"> and </w:t>
      </w:r>
      <w:r w:rsidR="00534A44" w:rsidRPr="00534A44">
        <w:rPr>
          <w:rFonts w:ascii="Rockwell Nova Light" w:hAnsi="Rockwell Nova Light"/>
        </w:rPr>
        <w:t xml:space="preserve"> 236,941</w:t>
      </w:r>
      <w:r w:rsidR="00534A44">
        <w:rPr>
          <w:rFonts w:ascii="Rockwell Nova Light" w:hAnsi="Rockwell Nova Light"/>
        </w:rPr>
        <w:t xml:space="preserve"> are women under 50</w:t>
      </w:r>
      <w:r w:rsidR="00590D1A">
        <w:rPr>
          <w:rFonts w:ascii="Rockwell Nova Light" w:hAnsi="Rockwell Nova Light"/>
        </w:rPr>
        <w:t>)</w:t>
      </w:r>
      <w:r w:rsidR="00DA5BAA">
        <w:rPr>
          <w:rFonts w:ascii="Rockwell Nova Light" w:hAnsi="Rockwell Nova Light"/>
        </w:rPr>
        <w:t xml:space="preserve"> would access basic drinking water</w:t>
      </w:r>
      <w:r>
        <w:rPr>
          <w:rFonts w:ascii="Rockwell Nova Light" w:hAnsi="Rockwell Nova Light"/>
        </w:rPr>
        <w:t xml:space="preserve"> and </w:t>
      </w:r>
      <w:r w:rsidR="009426F5">
        <w:rPr>
          <w:rFonts w:ascii="Rockwell Nova Light" w:hAnsi="Rockwell Nova Light"/>
        </w:rPr>
        <w:t>1.9 million</w:t>
      </w:r>
      <w:r>
        <w:rPr>
          <w:rFonts w:ascii="Rockwell Nova Light" w:hAnsi="Rockwell Nova Light"/>
        </w:rPr>
        <w:t xml:space="preserve"> </w:t>
      </w:r>
      <w:r w:rsidR="00590D1A">
        <w:rPr>
          <w:rFonts w:ascii="Rockwell Nova Light" w:hAnsi="Rockwell Nova Light"/>
        </w:rPr>
        <w:t xml:space="preserve">people (of which </w:t>
      </w:r>
      <w:r w:rsidR="009426F5">
        <w:rPr>
          <w:rFonts w:ascii="Rockwell Nova Light" w:hAnsi="Rockwell Nova Light"/>
          <w:lang w:val="en-US"/>
        </w:rPr>
        <w:t>231,371</w:t>
      </w:r>
      <w:r w:rsidR="00F376B3">
        <w:rPr>
          <w:rFonts w:ascii="Rockwell Nova Light" w:hAnsi="Rockwell Nova Light"/>
          <w:lang w:val="en-US"/>
        </w:rPr>
        <w:t xml:space="preserve"> </w:t>
      </w:r>
      <w:r w:rsidR="00590D1A">
        <w:rPr>
          <w:rFonts w:ascii="Rockwell Nova Light" w:hAnsi="Rockwell Nova Light"/>
        </w:rPr>
        <w:t xml:space="preserve">are </w:t>
      </w:r>
      <w:r>
        <w:rPr>
          <w:rFonts w:ascii="Rockwell Nova Light" w:hAnsi="Rockwell Nova Light"/>
        </w:rPr>
        <w:t>children</w:t>
      </w:r>
      <w:r w:rsidR="009426F5">
        <w:rPr>
          <w:rFonts w:ascii="Rockwell Nova Light" w:hAnsi="Rockwell Nova Light"/>
        </w:rPr>
        <w:t xml:space="preserve"> and 464,833 are women</w:t>
      </w:r>
      <w:r w:rsidR="00590D1A">
        <w:rPr>
          <w:rFonts w:ascii="Rockwell Nova Light" w:hAnsi="Rockwell Nova Light"/>
        </w:rPr>
        <w:t>)</w:t>
      </w:r>
      <w:r w:rsidR="00DA5BAA">
        <w:rPr>
          <w:rFonts w:ascii="Rockwell Nova Light" w:hAnsi="Rockwell Nova Light"/>
        </w:rPr>
        <w:t xml:space="preserve"> would access </w:t>
      </w:r>
      <w:r w:rsidR="00FF417B">
        <w:rPr>
          <w:rFonts w:ascii="Rockwell Nova Light" w:hAnsi="Rockwell Nova Light"/>
        </w:rPr>
        <w:t xml:space="preserve">basic sanitation, see </w:t>
      </w:r>
      <w:r w:rsidR="00FA76F5">
        <w:rPr>
          <w:rFonts w:ascii="Rockwell Nova Light" w:hAnsi="Rockwell Nova Light"/>
        </w:rPr>
        <w:t xml:space="preserve">figure </w:t>
      </w:r>
      <w:r w:rsidR="00DC1A50">
        <w:rPr>
          <w:rFonts w:ascii="Rockwell Nova Light" w:hAnsi="Rockwell Nova Light"/>
        </w:rPr>
        <w:t>2</w:t>
      </w:r>
      <w:r>
        <w:rPr>
          <w:rFonts w:ascii="Rockwell Nova Light" w:hAnsi="Rockwell Nova Light"/>
        </w:rPr>
        <w:t xml:space="preserve">. </w:t>
      </w:r>
      <w:r w:rsidRPr="00F32BE8">
        <w:rPr>
          <w:rFonts w:ascii="Rockwell Nova Light" w:hAnsi="Rockwell Nova Light"/>
        </w:rPr>
        <w:t>These figures demonstrate that</w:t>
      </w:r>
      <w:r w:rsidR="001D6C0F">
        <w:rPr>
          <w:rFonts w:ascii="Rockwell Nova Light" w:hAnsi="Rockwell Nova Light"/>
        </w:rPr>
        <w:t xml:space="preserve"> the</w:t>
      </w:r>
      <w:r w:rsidR="00EC60DE">
        <w:rPr>
          <w:rFonts w:ascii="Rockwell Nova Light" w:hAnsi="Rockwell Nova Light"/>
        </w:rPr>
        <w:t xml:space="preserve"> USA</w:t>
      </w:r>
      <w:r w:rsidR="001D6C0F">
        <w:rPr>
          <w:rFonts w:ascii="Rockwell Nova Light" w:hAnsi="Rockwell Nova Light"/>
        </w:rPr>
        <w:t>’</w:t>
      </w:r>
      <w:r w:rsidR="009426F5">
        <w:rPr>
          <w:rFonts w:ascii="Rockwell Nova Light" w:hAnsi="Rockwell Nova Light"/>
        </w:rPr>
        <w:t>s</w:t>
      </w:r>
      <w:r>
        <w:rPr>
          <w:rFonts w:ascii="Rockwell Nova Light" w:hAnsi="Rockwell Nova Light"/>
        </w:rPr>
        <w:t xml:space="preserve"> tax policies have</w:t>
      </w:r>
      <w:r w:rsidR="001D6C0F">
        <w:rPr>
          <w:rFonts w:ascii="Rockwell Nova Light" w:hAnsi="Rockwell Nova Light"/>
        </w:rPr>
        <w:t xml:space="preserve"> significant</w:t>
      </w:r>
      <w:r>
        <w:rPr>
          <w:rFonts w:ascii="Rockwell Nova Light" w:hAnsi="Rockwell Nova Light"/>
        </w:rPr>
        <w:t xml:space="preserve"> human consequences and must be carefully reconsidered.</w:t>
      </w:r>
      <w:r w:rsidR="00FA76F5">
        <w:rPr>
          <w:rFonts w:ascii="Rockwell Nova Light" w:hAnsi="Rockwell Nova Light"/>
        </w:rPr>
        <w:t xml:space="preserve"> Equally they demonstrate the huge potential for children if these policies are reviewed. </w:t>
      </w:r>
    </w:p>
    <w:p w14:paraId="1ED12DC1" w14:textId="478FE252" w:rsidR="00F9266E" w:rsidRPr="002765C1" w:rsidRDefault="00F9266E" w:rsidP="00F9266E">
      <w:pPr>
        <w:rPr>
          <w:rFonts w:ascii="Rockwell Nova Light" w:hAnsi="Rockwell Nova Light"/>
          <w:b/>
          <w:bCs/>
          <w:sz w:val="28"/>
          <w:szCs w:val="28"/>
        </w:rPr>
      </w:pPr>
      <w:r w:rsidRPr="002765C1">
        <w:rPr>
          <w:rFonts w:ascii="Rockwell Nova Light" w:hAnsi="Rockwell Nova Light"/>
          <w:b/>
          <w:bCs/>
          <w:sz w:val="28"/>
          <w:szCs w:val="28"/>
        </w:rPr>
        <w:lastRenderedPageBreak/>
        <w:t>Call for Action</w:t>
      </w:r>
    </w:p>
    <w:p w14:paraId="440A8A30" w14:textId="6DFB217D" w:rsidR="00F9266E" w:rsidRDefault="00F9266E" w:rsidP="00F9266E">
      <w:pPr>
        <w:rPr>
          <w:rFonts w:ascii="Rockwell Nova Light" w:hAnsi="Rockwell Nova Light"/>
        </w:rPr>
      </w:pPr>
      <w:r w:rsidRPr="00937F50">
        <w:rPr>
          <w:rFonts w:ascii="Rockwell Nova Light" w:hAnsi="Rockwell Nova Light"/>
        </w:rPr>
        <w:t>These figures demonstrate</w:t>
      </w:r>
      <w:r>
        <w:rPr>
          <w:rFonts w:ascii="Rockwell Nova Light" w:hAnsi="Rockwell Nova Light"/>
        </w:rPr>
        <w:t xml:space="preserve"> that </w:t>
      </w:r>
      <w:r w:rsidR="00EC60DE">
        <w:rPr>
          <w:rFonts w:ascii="Rockwell Nova Light" w:hAnsi="Rockwell Nova Light"/>
        </w:rPr>
        <w:t>the USA</w:t>
      </w:r>
      <w:r w:rsidR="00645EA2">
        <w:rPr>
          <w:rFonts w:ascii="Rockwell Nova Light" w:hAnsi="Rockwell Nova Light"/>
        </w:rPr>
        <w:t>’</w:t>
      </w:r>
      <w:r w:rsidR="009426F5">
        <w:rPr>
          <w:rFonts w:ascii="Rockwell Nova Light" w:hAnsi="Rockwell Nova Light"/>
        </w:rPr>
        <w:t>s</w:t>
      </w:r>
      <w:r>
        <w:rPr>
          <w:rFonts w:ascii="Rockwell Nova Light" w:hAnsi="Rockwell Nova Light"/>
        </w:rPr>
        <w:t xml:space="preserve"> tax policies come with a serious human cost and impact the right to health for many children. </w:t>
      </w:r>
      <w:r w:rsidR="00DC4AB5">
        <w:rPr>
          <w:rFonts w:ascii="Rockwell Nova Light" w:hAnsi="Rockwell Nova Light"/>
        </w:rPr>
        <w:t>It is essential that governments worldwide recognise the impact tax abuses have on</w:t>
      </w:r>
      <w:r w:rsidR="00880E9F">
        <w:rPr>
          <w:rFonts w:ascii="Rockwell Nova Light" w:hAnsi="Rockwell Nova Light"/>
        </w:rPr>
        <w:t xml:space="preserve"> Determinants of Health and mortality rates, particularly within </w:t>
      </w:r>
      <w:r w:rsidR="00B90E84">
        <w:rPr>
          <w:rFonts w:ascii="Rockwell Nova Light" w:hAnsi="Rockwell Nova Light"/>
        </w:rPr>
        <w:t>low-income-countries</w:t>
      </w:r>
      <w:r w:rsidR="00880E9F">
        <w:rPr>
          <w:rFonts w:ascii="Rockwell Nova Light" w:hAnsi="Rockwell Nova Light"/>
        </w:rPr>
        <w:t xml:space="preserve">. </w:t>
      </w:r>
      <w:r w:rsidR="00B80856">
        <w:rPr>
          <w:rFonts w:ascii="Rockwell Nova Light" w:hAnsi="Rockwell Nova Light"/>
        </w:rPr>
        <w:t>Allowing tax abuses to continue actively undermines fundamental human rights, which stands in direct opposition to</w:t>
      </w:r>
      <w:r w:rsidR="000252B6">
        <w:rPr>
          <w:rFonts w:ascii="Rockwell Nova Light" w:hAnsi="Rockwell Nova Light"/>
        </w:rPr>
        <w:t xml:space="preserve"> the </w:t>
      </w:r>
      <w:r w:rsidR="0043605E">
        <w:rPr>
          <w:rFonts w:ascii="Rockwell Nova Light" w:hAnsi="Rockwell Nova Light"/>
        </w:rPr>
        <w:t xml:space="preserve">Universal Declaration of Human Rights and the United Nations Convention for the Rights of the Child. </w:t>
      </w:r>
      <w:r w:rsidR="00AD1BED">
        <w:rPr>
          <w:rFonts w:ascii="Rockwell Nova Light" w:hAnsi="Rockwell Nova Light"/>
        </w:rPr>
        <w:t xml:space="preserve">We are calling for action from </w:t>
      </w:r>
      <w:r w:rsidR="009426F5">
        <w:rPr>
          <w:rFonts w:ascii="Rockwell Nova Light" w:hAnsi="Rockwell Nova Light"/>
        </w:rPr>
        <w:t>t</w:t>
      </w:r>
      <w:r w:rsidR="00EC60DE">
        <w:rPr>
          <w:rFonts w:ascii="Rockwell Nova Light" w:hAnsi="Rockwell Nova Light"/>
        </w:rPr>
        <w:t>he USA</w:t>
      </w:r>
      <w:r w:rsidR="00AD1BED">
        <w:rPr>
          <w:rFonts w:ascii="Rockwell Nova Light" w:hAnsi="Rockwell Nova Light"/>
        </w:rPr>
        <w:t xml:space="preserve"> and leaders worldwide to take measures to prevent </w:t>
      </w:r>
      <w:r w:rsidR="005D57E9">
        <w:rPr>
          <w:rFonts w:ascii="Rockwell Nova Light" w:hAnsi="Rockwell Nova Light"/>
        </w:rPr>
        <w:t>policies</w:t>
      </w:r>
      <w:r w:rsidR="00AD1BED">
        <w:rPr>
          <w:rFonts w:ascii="Rockwell Nova Light" w:hAnsi="Rockwell Nova Light"/>
        </w:rPr>
        <w:t xml:space="preserve"> which allow tax abuses to continue.</w:t>
      </w:r>
    </w:p>
    <w:p w14:paraId="73031368" w14:textId="580C62D5" w:rsidR="00590D1A" w:rsidRDefault="00590D1A" w:rsidP="00F9266E">
      <w:pPr>
        <w:rPr>
          <w:rFonts w:ascii="Rockwell Nova Light" w:hAnsi="Rockwell Nova Light"/>
        </w:rPr>
      </w:pPr>
    </w:p>
    <w:p w14:paraId="6E386E80" w14:textId="05F41EA3" w:rsidR="00590D1A" w:rsidRDefault="00590D1A" w:rsidP="00F9266E">
      <w:pPr>
        <w:rPr>
          <w:rFonts w:ascii="Rockwell Nova Light" w:hAnsi="Rockwell Nova Light"/>
        </w:rPr>
      </w:pPr>
    </w:p>
    <w:p w14:paraId="014809B1" w14:textId="43A880CD" w:rsidR="00590D1A" w:rsidRDefault="00590D1A" w:rsidP="00F9266E">
      <w:pPr>
        <w:rPr>
          <w:rFonts w:ascii="Rockwell Nova Light" w:hAnsi="Rockwell Nova Light"/>
        </w:rPr>
      </w:pPr>
    </w:p>
    <w:p w14:paraId="3262067A" w14:textId="759F38A1" w:rsidR="00590D1A" w:rsidRDefault="00590D1A" w:rsidP="00F9266E">
      <w:pPr>
        <w:rPr>
          <w:rFonts w:ascii="Rockwell Nova Light" w:hAnsi="Rockwell Nova Light"/>
        </w:rPr>
      </w:pPr>
    </w:p>
    <w:p w14:paraId="784C6F2C" w14:textId="2751E066" w:rsidR="00590D1A" w:rsidRDefault="00590D1A" w:rsidP="00F9266E">
      <w:pPr>
        <w:rPr>
          <w:rFonts w:ascii="Rockwell Nova Light" w:hAnsi="Rockwell Nova Light"/>
        </w:rPr>
      </w:pPr>
    </w:p>
    <w:p w14:paraId="0B1A74D0" w14:textId="10FFF52E" w:rsidR="00590D1A" w:rsidRDefault="00590D1A" w:rsidP="00F9266E">
      <w:pPr>
        <w:rPr>
          <w:rFonts w:ascii="Rockwell Nova Light" w:hAnsi="Rockwell Nova Light"/>
        </w:rPr>
      </w:pPr>
    </w:p>
    <w:p w14:paraId="466DA03B" w14:textId="76A8CBF3" w:rsidR="00590D1A" w:rsidRDefault="00590D1A" w:rsidP="00F9266E">
      <w:pPr>
        <w:rPr>
          <w:rFonts w:ascii="Rockwell Nova Light" w:hAnsi="Rockwell Nova Light"/>
        </w:rPr>
      </w:pPr>
    </w:p>
    <w:p w14:paraId="44A52549" w14:textId="0E942CAD" w:rsidR="00590D1A" w:rsidRDefault="00590D1A" w:rsidP="00F9266E">
      <w:pPr>
        <w:rPr>
          <w:rFonts w:ascii="Rockwell Nova Light" w:hAnsi="Rockwell Nova Light"/>
        </w:rPr>
      </w:pPr>
    </w:p>
    <w:p w14:paraId="6582A371" w14:textId="5FC50189" w:rsidR="00590D1A" w:rsidRDefault="00590D1A" w:rsidP="00F9266E">
      <w:pPr>
        <w:rPr>
          <w:rFonts w:ascii="Rockwell Nova Light" w:hAnsi="Rockwell Nova Light"/>
        </w:rPr>
      </w:pPr>
    </w:p>
    <w:p w14:paraId="23D8DCA8" w14:textId="5195E47C" w:rsidR="00590D1A" w:rsidRDefault="00590D1A" w:rsidP="00F9266E">
      <w:pPr>
        <w:rPr>
          <w:rFonts w:ascii="Rockwell Nova Light" w:hAnsi="Rockwell Nova Light"/>
        </w:rPr>
      </w:pPr>
    </w:p>
    <w:p w14:paraId="7E6B3F83" w14:textId="737075F4" w:rsidR="00590D1A" w:rsidRDefault="00590D1A" w:rsidP="00F9266E">
      <w:pPr>
        <w:rPr>
          <w:rFonts w:ascii="Rockwell Nova Light" w:hAnsi="Rockwell Nova Light"/>
        </w:rPr>
      </w:pPr>
    </w:p>
    <w:p w14:paraId="3C6A0B1A" w14:textId="4B38A8DB" w:rsidR="00590D1A" w:rsidRDefault="00590D1A" w:rsidP="00F9266E">
      <w:pPr>
        <w:rPr>
          <w:rFonts w:ascii="Rockwell Nova Light" w:hAnsi="Rockwell Nova Light"/>
        </w:rPr>
      </w:pPr>
    </w:p>
    <w:p w14:paraId="57B2AD2D" w14:textId="7CAA8C75" w:rsidR="00590D1A" w:rsidRDefault="00590D1A" w:rsidP="00F9266E">
      <w:pPr>
        <w:rPr>
          <w:rFonts w:ascii="Rockwell Nova Light" w:hAnsi="Rockwell Nova Light"/>
        </w:rPr>
      </w:pPr>
    </w:p>
    <w:p w14:paraId="35DB6109" w14:textId="3C266BEA" w:rsidR="00590D1A" w:rsidRDefault="00590D1A" w:rsidP="00F9266E">
      <w:pPr>
        <w:rPr>
          <w:rFonts w:ascii="Rockwell Nova Light" w:hAnsi="Rockwell Nova Light"/>
        </w:rPr>
      </w:pPr>
    </w:p>
    <w:p w14:paraId="4707EC00" w14:textId="2E5D139D" w:rsidR="00CD3309" w:rsidRPr="00CD3309" w:rsidRDefault="00590D1A" w:rsidP="00EB08F1">
      <w:pPr>
        <w:pStyle w:val="Footer"/>
        <w:tabs>
          <w:tab w:val="center" w:pos="4873"/>
        </w:tabs>
        <w:ind w:firstLine="720"/>
        <w:jc w:val="center"/>
      </w:pPr>
      <w:r w:rsidRPr="006D50AC">
        <w:rPr>
          <w:rFonts w:ascii="Abadi Extra Light" w:hAnsi="Abadi Extra Light"/>
        </w:rPr>
        <w:t>The GRADE project is funded by:</w:t>
      </w:r>
      <w:r>
        <w:br/>
      </w:r>
      <w:r>
        <w:rPr>
          <w:noProof/>
        </w:rPr>
        <w:drawing>
          <wp:inline distT="0" distB="0" distL="0" distR="0" wp14:anchorId="16ED419E" wp14:editId="26FB08BE">
            <wp:extent cx="1841848" cy="647013"/>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9">
                      <a:extLst>
                        <a:ext uri="{28A0092B-C50C-407E-A947-70E740481C1C}">
                          <a14:useLocalDpi xmlns:a14="http://schemas.microsoft.com/office/drawing/2010/main" val="0"/>
                        </a:ext>
                      </a:extLst>
                    </a:blip>
                    <a:stretch>
                      <a:fillRect/>
                    </a:stretch>
                  </pic:blipFill>
                  <pic:spPr>
                    <a:xfrm>
                      <a:off x="0" y="0"/>
                      <a:ext cx="1841848" cy="647013"/>
                    </a:xfrm>
                    <a:prstGeom prst="rect">
                      <a:avLst/>
                    </a:prstGeom>
                  </pic:spPr>
                </pic:pic>
              </a:graphicData>
            </a:graphic>
          </wp:inline>
        </w:drawing>
      </w:r>
      <w:r>
        <w:rPr>
          <w:rFonts w:ascii="Abadi Extra Light" w:hAnsi="Abadi Extra Light"/>
        </w:rPr>
        <w:t xml:space="preserve">  </w:t>
      </w:r>
      <w:r>
        <w:tab/>
      </w:r>
      <w:r>
        <w:rPr>
          <w:noProof/>
        </w:rPr>
        <w:drawing>
          <wp:inline distT="0" distB="0" distL="0" distR="0" wp14:anchorId="078B194C" wp14:editId="7E563BE4">
            <wp:extent cx="888996" cy="510981"/>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88996" cy="510981"/>
                    </a:xfrm>
                    <a:prstGeom prst="rect">
                      <a:avLst/>
                    </a:prstGeom>
                  </pic:spPr>
                </pic:pic>
              </a:graphicData>
            </a:graphic>
          </wp:inline>
        </w:drawing>
      </w:r>
      <w:r>
        <w:rPr>
          <w:noProof/>
        </w:rPr>
        <w:drawing>
          <wp:inline distT="0" distB="0" distL="0" distR="0" wp14:anchorId="4D449E60" wp14:editId="5C7CAF27">
            <wp:extent cx="1684655" cy="655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1">
                      <a:extLst>
                        <a:ext uri="{28A0092B-C50C-407E-A947-70E740481C1C}">
                          <a14:useLocalDpi xmlns:a14="http://schemas.microsoft.com/office/drawing/2010/main" val="0"/>
                        </a:ext>
                      </a:extLst>
                    </a:blip>
                    <a:stretch>
                      <a:fillRect/>
                    </a:stretch>
                  </pic:blipFill>
                  <pic:spPr>
                    <a:xfrm>
                      <a:off x="0" y="0"/>
                      <a:ext cx="1684655" cy="655955"/>
                    </a:xfrm>
                    <a:prstGeom prst="rect">
                      <a:avLst/>
                    </a:prstGeom>
                  </pic:spPr>
                </pic:pic>
              </a:graphicData>
            </a:graphic>
          </wp:inline>
        </w:drawing>
      </w:r>
    </w:p>
    <w:sectPr w:rsidR="00CD3309" w:rsidRPr="00CD3309" w:rsidSect="006D50AC">
      <w:foot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50322" w14:textId="77777777" w:rsidR="003B3485" w:rsidRDefault="003B3485" w:rsidP="006D50AC">
      <w:pPr>
        <w:spacing w:after="0" w:line="240" w:lineRule="auto"/>
      </w:pPr>
      <w:r>
        <w:separator/>
      </w:r>
    </w:p>
  </w:endnote>
  <w:endnote w:type="continuationSeparator" w:id="0">
    <w:p w14:paraId="15737B01" w14:textId="77777777" w:rsidR="003B3485" w:rsidRDefault="003B3485" w:rsidP="006D50AC">
      <w:pPr>
        <w:spacing w:after="0" w:line="240" w:lineRule="auto"/>
      </w:pPr>
      <w:r>
        <w:continuationSeparator/>
      </w:r>
    </w:p>
  </w:endnote>
  <w:endnote w:type="continuationNotice" w:id="1">
    <w:p w14:paraId="36E16242" w14:textId="77777777" w:rsidR="003B3485" w:rsidRDefault="003B3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Nova Light">
    <w:altName w:val="Rockwell Nova Light"/>
    <w:charset w:val="00"/>
    <w:family w:val="roman"/>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6F688" w14:textId="5184E436" w:rsidR="006D50AC" w:rsidRPr="006D50AC" w:rsidRDefault="006D50AC" w:rsidP="006D50AC">
    <w:pPr>
      <w:pStyle w:val="Footer"/>
      <w:tabs>
        <w:tab w:val="center" w:pos="4873"/>
      </w:tabs>
      <w:ind w:firstLine="720"/>
      <w:jc w:val="center"/>
      <w:rPr>
        <w:rFonts w:ascii="Abadi Extra Light" w:hAnsi="Abadi Extra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3B88C" w14:textId="77777777" w:rsidR="003B3485" w:rsidRDefault="003B3485" w:rsidP="006D50AC">
      <w:pPr>
        <w:spacing w:after="0" w:line="240" w:lineRule="auto"/>
      </w:pPr>
      <w:r>
        <w:separator/>
      </w:r>
    </w:p>
  </w:footnote>
  <w:footnote w:type="continuationSeparator" w:id="0">
    <w:p w14:paraId="74086604" w14:textId="77777777" w:rsidR="003B3485" w:rsidRDefault="003B3485" w:rsidP="006D50AC">
      <w:pPr>
        <w:spacing w:after="0" w:line="240" w:lineRule="auto"/>
      </w:pPr>
      <w:r>
        <w:continuationSeparator/>
      </w:r>
    </w:p>
  </w:footnote>
  <w:footnote w:type="continuationNotice" w:id="1">
    <w:p w14:paraId="5AEC52C6" w14:textId="77777777" w:rsidR="003B3485" w:rsidRDefault="003B348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tzA2NDKzMDQyMTVX0lEKTi0uzszPAykwrAUAxhosNywAAAA="/>
  </w:docVars>
  <w:rsids>
    <w:rsidRoot w:val="006D50AC"/>
    <w:rsid w:val="0000252F"/>
    <w:rsid w:val="00010F9F"/>
    <w:rsid w:val="000252B6"/>
    <w:rsid w:val="000668A7"/>
    <w:rsid w:val="00075649"/>
    <w:rsid w:val="00082C12"/>
    <w:rsid w:val="0008765C"/>
    <w:rsid w:val="000A2D6C"/>
    <w:rsid w:val="000C3ACE"/>
    <w:rsid w:val="000E74D4"/>
    <w:rsid w:val="00121CA0"/>
    <w:rsid w:val="00125C63"/>
    <w:rsid w:val="001328AC"/>
    <w:rsid w:val="001343F2"/>
    <w:rsid w:val="00154AC0"/>
    <w:rsid w:val="00155B2D"/>
    <w:rsid w:val="00155F89"/>
    <w:rsid w:val="00183ADD"/>
    <w:rsid w:val="001841D5"/>
    <w:rsid w:val="00193965"/>
    <w:rsid w:val="001A668F"/>
    <w:rsid w:val="001A7127"/>
    <w:rsid w:val="001C2F6B"/>
    <w:rsid w:val="001D6C0F"/>
    <w:rsid w:val="001E36CC"/>
    <w:rsid w:val="001E7757"/>
    <w:rsid w:val="00204171"/>
    <w:rsid w:val="002107F9"/>
    <w:rsid w:val="00212E7F"/>
    <w:rsid w:val="00245562"/>
    <w:rsid w:val="00251A79"/>
    <w:rsid w:val="00253AF6"/>
    <w:rsid w:val="00270860"/>
    <w:rsid w:val="002713F6"/>
    <w:rsid w:val="0027494D"/>
    <w:rsid w:val="002775A5"/>
    <w:rsid w:val="0027797F"/>
    <w:rsid w:val="002810B8"/>
    <w:rsid w:val="002A2FFD"/>
    <w:rsid w:val="002A356A"/>
    <w:rsid w:val="002B001B"/>
    <w:rsid w:val="002C0C91"/>
    <w:rsid w:val="002C1DB0"/>
    <w:rsid w:val="002C2002"/>
    <w:rsid w:val="002C21A2"/>
    <w:rsid w:val="002C37E1"/>
    <w:rsid w:val="002E3C1B"/>
    <w:rsid w:val="002E5055"/>
    <w:rsid w:val="002E64CE"/>
    <w:rsid w:val="002F3106"/>
    <w:rsid w:val="00300ECD"/>
    <w:rsid w:val="00301609"/>
    <w:rsid w:val="00304B4B"/>
    <w:rsid w:val="003053FF"/>
    <w:rsid w:val="003225AB"/>
    <w:rsid w:val="00323288"/>
    <w:rsid w:val="00323DBC"/>
    <w:rsid w:val="0032417D"/>
    <w:rsid w:val="00327AAB"/>
    <w:rsid w:val="003442FC"/>
    <w:rsid w:val="003478D4"/>
    <w:rsid w:val="00381EF2"/>
    <w:rsid w:val="00384949"/>
    <w:rsid w:val="003B3485"/>
    <w:rsid w:val="003D7D8D"/>
    <w:rsid w:val="003F13B5"/>
    <w:rsid w:val="003F2562"/>
    <w:rsid w:val="003F37C3"/>
    <w:rsid w:val="0040482E"/>
    <w:rsid w:val="0042276A"/>
    <w:rsid w:val="0042570F"/>
    <w:rsid w:val="00430869"/>
    <w:rsid w:val="00432C49"/>
    <w:rsid w:val="0043605E"/>
    <w:rsid w:val="00445E35"/>
    <w:rsid w:val="00450BA0"/>
    <w:rsid w:val="00474409"/>
    <w:rsid w:val="00492541"/>
    <w:rsid w:val="004C56BC"/>
    <w:rsid w:val="004C5C09"/>
    <w:rsid w:val="004D0A18"/>
    <w:rsid w:val="004D3015"/>
    <w:rsid w:val="004D473C"/>
    <w:rsid w:val="004E727A"/>
    <w:rsid w:val="004F6BFC"/>
    <w:rsid w:val="00502904"/>
    <w:rsid w:val="00512CB0"/>
    <w:rsid w:val="00516123"/>
    <w:rsid w:val="00524CD4"/>
    <w:rsid w:val="00532107"/>
    <w:rsid w:val="00534A44"/>
    <w:rsid w:val="005515AE"/>
    <w:rsid w:val="005522A9"/>
    <w:rsid w:val="005635CC"/>
    <w:rsid w:val="00572E12"/>
    <w:rsid w:val="00574C2E"/>
    <w:rsid w:val="005821EA"/>
    <w:rsid w:val="005832D6"/>
    <w:rsid w:val="00590D1A"/>
    <w:rsid w:val="005C2B35"/>
    <w:rsid w:val="005D57E9"/>
    <w:rsid w:val="005D72A9"/>
    <w:rsid w:val="005E2860"/>
    <w:rsid w:val="006254E5"/>
    <w:rsid w:val="00625A6D"/>
    <w:rsid w:val="00625B60"/>
    <w:rsid w:val="00645EA2"/>
    <w:rsid w:val="0066077A"/>
    <w:rsid w:val="00672C99"/>
    <w:rsid w:val="00693393"/>
    <w:rsid w:val="006A6286"/>
    <w:rsid w:val="006B39CF"/>
    <w:rsid w:val="006C3395"/>
    <w:rsid w:val="006C3AEC"/>
    <w:rsid w:val="006D50AC"/>
    <w:rsid w:val="006D737F"/>
    <w:rsid w:val="006D7792"/>
    <w:rsid w:val="006F526D"/>
    <w:rsid w:val="007224EB"/>
    <w:rsid w:val="0073292E"/>
    <w:rsid w:val="00744B01"/>
    <w:rsid w:val="007515F4"/>
    <w:rsid w:val="00757297"/>
    <w:rsid w:val="0076063F"/>
    <w:rsid w:val="00767A60"/>
    <w:rsid w:val="00774D49"/>
    <w:rsid w:val="00793397"/>
    <w:rsid w:val="007A490F"/>
    <w:rsid w:val="007A593D"/>
    <w:rsid w:val="007B1646"/>
    <w:rsid w:val="00816EE4"/>
    <w:rsid w:val="00820D88"/>
    <w:rsid w:val="008278C1"/>
    <w:rsid w:val="0084577C"/>
    <w:rsid w:val="00851FB3"/>
    <w:rsid w:val="00864177"/>
    <w:rsid w:val="00865FFE"/>
    <w:rsid w:val="00871B00"/>
    <w:rsid w:val="00876DAC"/>
    <w:rsid w:val="00876E24"/>
    <w:rsid w:val="00880E9F"/>
    <w:rsid w:val="00880F75"/>
    <w:rsid w:val="00883D4F"/>
    <w:rsid w:val="008933C8"/>
    <w:rsid w:val="008959B9"/>
    <w:rsid w:val="008A582B"/>
    <w:rsid w:val="008B04DA"/>
    <w:rsid w:val="008C2DFA"/>
    <w:rsid w:val="008C2FBC"/>
    <w:rsid w:val="008C7DF1"/>
    <w:rsid w:val="008D22F4"/>
    <w:rsid w:val="008E2950"/>
    <w:rsid w:val="008F4EAA"/>
    <w:rsid w:val="008F6467"/>
    <w:rsid w:val="008F73C8"/>
    <w:rsid w:val="0090314F"/>
    <w:rsid w:val="00926BD3"/>
    <w:rsid w:val="00932103"/>
    <w:rsid w:val="00935B34"/>
    <w:rsid w:val="009426F5"/>
    <w:rsid w:val="009735C2"/>
    <w:rsid w:val="0098197B"/>
    <w:rsid w:val="0098718A"/>
    <w:rsid w:val="0099144B"/>
    <w:rsid w:val="009949CF"/>
    <w:rsid w:val="00994B69"/>
    <w:rsid w:val="009B01DE"/>
    <w:rsid w:val="009B2186"/>
    <w:rsid w:val="009C18E9"/>
    <w:rsid w:val="009D2697"/>
    <w:rsid w:val="009D2C31"/>
    <w:rsid w:val="009E099F"/>
    <w:rsid w:val="009E3C8E"/>
    <w:rsid w:val="009E6025"/>
    <w:rsid w:val="009F0BD1"/>
    <w:rsid w:val="00A0501B"/>
    <w:rsid w:val="00A07FAA"/>
    <w:rsid w:val="00A1649E"/>
    <w:rsid w:val="00A22A3B"/>
    <w:rsid w:val="00A2471A"/>
    <w:rsid w:val="00A302EC"/>
    <w:rsid w:val="00A508B8"/>
    <w:rsid w:val="00A52F4B"/>
    <w:rsid w:val="00A55F75"/>
    <w:rsid w:val="00A633A4"/>
    <w:rsid w:val="00A6532B"/>
    <w:rsid w:val="00AA4126"/>
    <w:rsid w:val="00AA6952"/>
    <w:rsid w:val="00AD1BED"/>
    <w:rsid w:val="00AD3A3A"/>
    <w:rsid w:val="00B03F41"/>
    <w:rsid w:val="00B1146C"/>
    <w:rsid w:val="00B22AED"/>
    <w:rsid w:val="00B30B18"/>
    <w:rsid w:val="00B3504E"/>
    <w:rsid w:val="00B404BC"/>
    <w:rsid w:val="00B54C87"/>
    <w:rsid w:val="00B62538"/>
    <w:rsid w:val="00B6313E"/>
    <w:rsid w:val="00B77B6F"/>
    <w:rsid w:val="00B80856"/>
    <w:rsid w:val="00B90E84"/>
    <w:rsid w:val="00BA3E48"/>
    <w:rsid w:val="00BB529E"/>
    <w:rsid w:val="00BD676A"/>
    <w:rsid w:val="00BE7E11"/>
    <w:rsid w:val="00BF3622"/>
    <w:rsid w:val="00C10F19"/>
    <w:rsid w:val="00C14283"/>
    <w:rsid w:val="00C25EC2"/>
    <w:rsid w:val="00C26E6F"/>
    <w:rsid w:val="00C30736"/>
    <w:rsid w:val="00C356D7"/>
    <w:rsid w:val="00C363D8"/>
    <w:rsid w:val="00C50CCE"/>
    <w:rsid w:val="00C574EA"/>
    <w:rsid w:val="00CD3309"/>
    <w:rsid w:val="00CE2A50"/>
    <w:rsid w:val="00CF3005"/>
    <w:rsid w:val="00CF3C37"/>
    <w:rsid w:val="00CF74F0"/>
    <w:rsid w:val="00CF77F5"/>
    <w:rsid w:val="00D063E9"/>
    <w:rsid w:val="00D2209B"/>
    <w:rsid w:val="00D22EF6"/>
    <w:rsid w:val="00D23C9A"/>
    <w:rsid w:val="00D46FDE"/>
    <w:rsid w:val="00D62DD5"/>
    <w:rsid w:val="00D7613B"/>
    <w:rsid w:val="00D842FF"/>
    <w:rsid w:val="00DA1DBC"/>
    <w:rsid w:val="00DA5BAA"/>
    <w:rsid w:val="00DA7B10"/>
    <w:rsid w:val="00DC0AE3"/>
    <w:rsid w:val="00DC0C5F"/>
    <w:rsid w:val="00DC1A50"/>
    <w:rsid w:val="00DC263C"/>
    <w:rsid w:val="00DC4AB5"/>
    <w:rsid w:val="00DE73C1"/>
    <w:rsid w:val="00E04932"/>
    <w:rsid w:val="00E3254A"/>
    <w:rsid w:val="00E32E4C"/>
    <w:rsid w:val="00E3523B"/>
    <w:rsid w:val="00E54D9C"/>
    <w:rsid w:val="00E55BFC"/>
    <w:rsid w:val="00E71876"/>
    <w:rsid w:val="00E75EC5"/>
    <w:rsid w:val="00E76C35"/>
    <w:rsid w:val="00E77693"/>
    <w:rsid w:val="00E87F37"/>
    <w:rsid w:val="00EA61EC"/>
    <w:rsid w:val="00EB08F1"/>
    <w:rsid w:val="00EB6E64"/>
    <w:rsid w:val="00EC60DE"/>
    <w:rsid w:val="00EE7B16"/>
    <w:rsid w:val="00EF2A5A"/>
    <w:rsid w:val="00F15816"/>
    <w:rsid w:val="00F15C44"/>
    <w:rsid w:val="00F17C85"/>
    <w:rsid w:val="00F3441A"/>
    <w:rsid w:val="00F358DE"/>
    <w:rsid w:val="00F376B3"/>
    <w:rsid w:val="00F60A8E"/>
    <w:rsid w:val="00F60ACE"/>
    <w:rsid w:val="00F77340"/>
    <w:rsid w:val="00F8048F"/>
    <w:rsid w:val="00F815FE"/>
    <w:rsid w:val="00F834C7"/>
    <w:rsid w:val="00F83ABB"/>
    <w:rsid w:val="00F84917"/>
    <w:rsid w:val="00F91F3F"/>
    <w:rsid w:val="00F9266E"/>
    <w:rsid w:val="00F97E35"/>
    <w:rsid w:val="00FA101D"/>
    <w:rsid w:val="00FA76F5"/>
    <w:rsid w:val="00FB770A"/>
    <w:rsid w:val="00FC34ED"/>
    <w:rsid w:val="00FD32C3"/>
    <w:rsid w:val="00FE3853"/>
    <w:rsid w:val="00FF417B"/>
    <w:rsid w:val="14422058"/>
    <w:rsid w:val="391B6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6EC9B"/>
  <w15:chartTrackingRefBased/>
  <w15:docId w15:val="{4881A5F1-E93A-4ED0-9BC5-D9BC503C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0AC"/>
  </w:style>
  <w:style w:type="paragraph" w:styleId="Footer">
    <w:name w:val="footer"/>
    <w:basedOn w:val="Normal"/>
    <w:link w:val="FooterChar"/>
    <w:uiPriority w:val="99"/>
    <w:unhideWhenUsed/>
    <w:rsid w:val="006D5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0AC"/>
  </w:style>
  <w:style w:type="character" w:styleId="Hyperlink">
    <w:name w:val="Hyperlink"/>
    <w:basedOn w:val="DefaultParagraphFont"/>
    <w:uiPriority w:val="99"/>
    <w:unhideWhenUsed/>
    <w:rsid w:val="006D50AC"/>
    <w:rPr>
      <w:color w:val="0563C1" w:themeColor="hyperlink"/>
      <w:u w:val="single"/>
    </w:rPr>
  </w:style>
  <w:style w:type="character" w:styleId="UnresolvedMention">
    <w:name w:val="Unresolved Mention"/>
    <w:basedOn w:val="DefaultParagraphFont"/>
    <w:uiPriority w:val="99"/>
    <w:semiHidden/>
    <w:unhideWhenUsed/>
    <w:rsid w:val="00F9266E"/>
    <w:rPr>
      <w:color w:val="605E5C"/>
      <w:shd w:val="clear" w:color="auto" w:fill="E1DFDD"/>
    </w:rPr>
  </w:style>
  <w:style w:type="paragraph" w:styleId="BalloonText">
    <w:name w:val="Balloon Text"/>
    <w:basedOn w:val="Normal"/>
    <w:link w:val="BalloonTextChar"/>
    <w:uiPriority w:val="99"/>
    <w:semiHidden/>
    <w:unhideWhenUsed/>
    <w:rsid w:val="009B0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1DE"/>
    <w:rPr>
      <w:rFonts w:ascii="Segoe UI" w:hAnsi="Segoe UI" w:cs="Segoe UI"/>
      <w:sz w:val="18"/>
      <w:szCs w:val="18"/>
    </w:rPr>
  </w:style>
  <w:style w:type="character" w:styleId="CommentReference">
    <w:name w:val="annotation reference"/>
    <w:basedOn w:val="DefaultParagraphFont"/>
    <w:uiPriority w:val="99"/>
    <w:semiHidden/>
    <w:unhideWhenUsed/>
    <w:rsid w:val="007B1646"/>
    <w:rPr>
      <w:sz w:val="16"/>
      <w:szCs w:val="16"/>
    </w:rPr>
  </w:style>
  <w:style w:type="paragraph" w:styleId="CommentText">
    <w:name w:val="annotation text"/>
    <w:basedOn w:val="Normal"/>
    <w:link w:val="CommentTextChar"/>
    <w:uiPriority w:val="99"/>
    <w:semiHidden/>
    <w:unhideWhenUsed/>
    <w:rsid w:val="007B1646"/>
    <w:pPr>
      <w:spacing w:line="240" w:lineRule="auto"/>
    </w:pPr>
    <w:rPr>
      <w:sz w:val="20"/>
      <w:szCs w:val="20"/>
    </w:rPr>
  </w:style>
  <w:style w:type="character" w:customStyle="1" w:styleId="CommentTextChar">
    <w:name w:val="Comment Text Char"/>
    <w:basedOn w:val="DefaultParagraphFont"/>
    <w:link w:val="CommentText"/>
    <w:uiPriority w:val="99"/>
    <w:semiHidden/>
    <w:rsid w:val="007B1646"/>
    <w:rPr>
      <w:sz w:val="20"/>
      <w:szCs w:val="20"/>
    </w:rPr>
  </w:style>
  <w:style w:type="paragraph" w:styleId="CommentSubject">
    <w:name w:val="annotation subject"/>
    <w:basedOn w:val="CommentText"/>
    <w:next w:val="CommentText"/>
    <w:link w:val="CommentSubjectChar"/>
    <w:uiPriority w:val="99"/>
    <w:semiHidden/>
    <w:unhideWhenUsed/>
    <w:rsid w:val="007B1646"/>
    <w:rPr>
      <w:b/>
      <w:bCs/>
    </w:rPr>
  </w:style>
  <w:style w:type="character" w:customStyle="1" w:styleId="CommentSubjectChar">
    <w:name w:val="Comment Subject Char"/>
    <w:basedOn w:val="CommentTextChar"/>
    <w:link w:val="CommentSubject"/>
    <w:uiPriority w:val="99"/>
    <w:semiHidden/>
    <w:rsid w:val="007B1646"/>
    <w:rPr>
      <w:b/>
      <w:bCs/>
      <w:sz w:val="20"/>
      <w:szCs w:val="20"/>
    </w:rPr>
  </w:style>
  <w:style w:type="character" w:customStyle="1" w:styleId="normaltextrun">
    <w:name w:val="normaltextrun"/>
    <w:basedOn w:val="DefaultParagraphFont"/>
    <w:rsid w:val="00450BA0"/>
  </w:style>
  <w:style w:type="paragraph" w:customStyle="1" w:styleId="paragraph">
    <w:name w:val="paragraph"/>
    <w:basedOn w:val="Normal"/>
    <w:rsid w:val="00FB77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B770A"/>
  </w:style>
  <w:style w:type="paragraph" w:styleId="NormalWeb">
    <w:name w:val="Normal (Web)"/>
    <w:basedOn w:val="Normal"/>
    <w:uiPriority w:val="99"/>
    <w:semiHidden/>
    <w:unhideWhenUsed/>
    <w:rsid w:val="00EF2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D2C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80966">
      <w:bodyDiv w:val="1"/>
      <w:marLeft w:val="0"/>
      <w:marRight w:val="0"/>
      <w:marTop w:val="0"/>
      <w:marBottom w:val="0"/>
      <w:divBdr>
        <w:top w:val="none" w:sz="0" w:space="0" w:color="auto"/>
        <w:left w:val="none" w:sz="0" w:space="0" w:color="auto"/>
        <w:bottom w:val="none" w:sz="0" w:space="0" w:color="auto"/>
        <w:right w:val="none" w:sz="0" w:space="0" w:color="auto"/>
      </w:divBdr>
    </w:div>
    <w:div w:id="252401394">
      <w:bodyDiv w:val="1"/>
      <w:marLeft w:val="0"/>
      <w:marRight w:val="0"/>
      <w:marTop w:val="0"/>
      <w:marBottom w:val="0"/>
      <w:divBdr>
        <w:top w:val="none" w:sz="0" w:space="0" w:color="auto"/>
        <w:left w:val="none" w:sz="0" w:space="0" w:color="auto"/>
        <w:bottom w:val="none" w:sz="0" w:space="0" w:color="auto"/>
        <w:right w:val="none" w:sz="0" w:space="0" w:color="auto"/>
      </w:divBdr>
    </w:div>
    <w:div w:id="378671961">
      <w:bodyDiv w:val="1"/>
      <w:marLeft w:val="0"/>
      <w:marRight w:val="0"/>
      <w:marTop w:val="0"/>
      <w:marBottom w:val="0"/>
      <w:divBdr>
        <w:top w:val="none" w:sz="0" w:space="0" w:color="auto"/>
        <w:left w:val="none" w:sz="0" w:space="0" w:color="auto"/>
        <w:bottom w:val="none" w:sz="0" w:space="0" w:color="auto"/>
        <w:right w:val="none" w:sz="0" w:space="0" w:color="auto"/>
      </w:divBdr>
    </w:div>
    <w:div w:id="407307281">
      <w:bodyDiv w:val="1"/>
      <w:marLeft w:val="0"/>
      <w:marRight w:val="0"/>
      <w:marTop w:val="0"/>
      <w:marBottom w:val="0"/>
      <w:divBdr>
        <w:top w:val="none" w:sz="0" w:space="0" w:color="auto"/>
        <w:left w:val="none" w:sz="0" w:space="0" w:color="auto"/>
        <w:bottom w:val="none" w:sz="0" w:space="0" w:color="auto"/>
        <w:right w:val="none" w:sz="0" w:space="0" w:color="auto"/>
      </w:divBdr>
    </w:div>
    <w:div w:id="506405874">
      <w:bodyDiv w:val="1"/>
      <w:marLeft w:val="0"/>
      <w:marRight w:val="0"/>
      <w:marTop w:val="0"/>
      <w:marBottom w:val="0"/>
      <w:divBdr>
        <w:top w:val="none" w:sz="0" w:space="0" w:color="auto"/>
        <w:left w:val="none" w:sz="0" w:space="0" w:color="auto"/>
        <w:bottom w:val="none" w:sz="0" w:space="0" w:color="auto"/>
        <w:right w:val="none" w:sz="0" w:space="0" w:color="auto"/>
      </w:divBdr>
      <w:divsChild>
        <w:div w:id="2077585146">
          <w:marLeft w:val="0"/>
          <w:marRight w:val="0"/>
          <w:marTop w:val="0"/>
          <w:marBottom w:val="0"/>
          <w:divBdr>
            <w:top w:val="none" w:sz="0" w:space="0" w:color="auto"/>
            <w:left w:val="none" w:sz="0" w:space="0" w:color="auto"/>
            <w:bottom w:val="none" w:sz="0" w:space="0" w:color="auto"/>
            <w:right w:val="none" w:sz="0" w:space="0" w:color="auto"/>
          </w:divBdr>
        </w:div>
      </w:divsChild>
    </w:div>
    <w:div w:id="551818018">
      <w:bodyDiv w:val="1"/>
      <w:marLeft w:val="0"/>
      <w:marRight w:val="0"/>
      <w:marTop w:val="0"/>
      <w:marBottom w:val="0"/>
      <w:divBdr>
        <w:top w:val="none" w:sz="0" w:space="0" w:color="auto"/>
        <w:left w:val="none" w:sz="0" w:space="0" w:color="auto"/>
        <w:bottom w:val="none" w:sz="0" w:space="0" w:color="auto"/>
        <w:right w:val="none" w:sz="0" w:space="0" w:color="auto"/>
      </w:divBdr>
      <w:divsChild>
        <w:div w:id="278993279">
          <w:marLeft w:val="0"/>
          <w:marRight w:val="0"/>
          <w:marTop w:val="0"/>
          <w:marBottom w:val="0"/>
          <w:divBdr>
            <w:top w:val="none" w:sz="0" w:space="0" w:color="auto"/>
            <w:left w:val="none" w:sz="0" w:space="0" w:color="auto"/>
            <w:bottom w:val="none" w:sz="0" w:space="0" w:color="auto"/>
            <w:right w:val="none" w:sz="0" w:space="0" w:color="auto"/>
          </w:divBdr>
        </w:div>
      </w:divsChild>
    </w:div>
    <w:div w:id="598415058">
      <w:bodyDiv w:val="1"/>
      <w:marLeft w:val="0"/>
      <w:marRight w:val="0"/>
      <w:marTop w:val="0"/>
      <w:marBottom w:val="0"/>
      <w:divBdr>
        <w:top w:val="none" w:sz="0" w:space="0" w:color="auto"/>
        <w:left w:val="none" w:sz="0" w:space="0" w:color="auto"/>
        <w:bottom w:val="none" w:sz="0" w:space="0" w:color="auto"/>
        <w:right w:val="none" w:sz="0" w:space="0" w:color="auto"/>
      </w:divBdr>
    </w:div>
    <w:div w:id="640110558">
      <w:bodyDiv w:val="1"/>
      <w:marLeft w:val="0"/>
      <w:marRight w:val="0"/>
      <w:marTop w:val="0"/>
      <w:marBottom w:val="0"/>
      <w:divBdr>
        <w:top w:val="none" w:sz="0" w:space="0" w:color="auto"/>
        <w:left w:val="none" w:sz="0" w:space="0" w:color="auto"/>
        <w:bottom w:val="none" w:sz="0" w:space="0" w:color="auto"/>
        <w:right w:val="none" w:sz="0" w:space="0" w:color="auto"/>
      </w:divBdr>
      <w:divsChild>
        <w:div w:id="1733189787">
          <w:marLeft w:val="0"/>
          <w:marRight w:val="0"/>
          <w:marTop w:val="0"/>
          <w:marBottom w:val="0"/>
          <w:divBdr>
            <w:top w:val="none" w:sz="0" w:space="0" w:color="auto"/>
            <w:left w:val="none" w:sz="0" w:space="0" w:color="auto"/>
            <w:bottom w:val="none" w:sz="0" w:space="0" w:color="auto"/>
            <w:right w:val="none" w:sz="0" w:space="0" w:color="auto"/>
          </w:divBdr>
        </w:div>
        <w:div w:id="803306231">
          <w:marLeft w:val="0"/>
          <w:marRight w:val="0"/>
          <w:marTop w:val="0"/>
          <w:marBottom w:val="0"/>
          <w:divBdr>
            <w:top w:val="none" w:sz="0" w:space="0" w:color="auto"/>
            <w:left w:val="none" w:sz="0" w:space="0" w:color="auto"/>
            <w:bottom w:val="none" w:sz="0" w:space="0" w:color="auto"/>
            <w:right w:val="none" w:sz="0" w:space="0" w:color="auto"/>
          </w:divBdr>
        </w:div>
        <w:div w:id="1960649398">
          <w:marLeft w:val="0"/>
          <w:marRight w:val="0"/>
          <w:marTop w:val="0"/>
          <w:marBottom w:val="0"/>
          <w:divBdr>
            <w:top w:val="none" w:sz="0" w:space="0" w:color="auto"/>
            <w:left w:val="none" w:sz="0" w:space="0" w:color="auto"/>
            <w:bottom w:val="none" w:sz="0" w:space="0" w:color="auto"/>
            <w:right w:val="none" w:sz="0" w:space="0" w:color="auto"/>
          </w:divBdr>
        </w:div>
      </w:divsChild>
    </w:div>
    <w:div w:id="1025593644">
      <w:bodyDiv w:val="1"/>
      <w:marLeft w:val="0"/>
      <w:marRight w:val="0"/>
      <w:marTop w:val="0"/>
      <w:marBottom w:val="0"/>
      <w:divBdr>
        <w:top w:val="none" w:sz="0" w:space="0" w:color="auto"/>
        <w:left w:val="none" w:sz="0" w:space="0" w:color="auto"/>
        <w:bottom w:val="none" w:sz="0" w:space="0" w:color="auto"/>
        <w:right w:val="none" w:sz="0" w:space="0" w:color="auto"/>
      </w:divBdr>
      <w:divsChild>
        <w:div w:id="1012924434">
          <w:marLeft w:val="0"/>
          <w:marRight w:val="0"/>
          <w:marTop w:val="0"/>
          <w:marBottom w:val="0"/>
          <w:divBdr>
            <w:top w:val="none" w:sz="0" w:space="0" w:color="auto"/>
            <w:left w:val="none" w:sz="0" w:space="0" w:color="auto"/>
            <w:bottom w:val="none" w:sz="0" w:space="0" w:color="auto"/>
            <w:right w:val="none" w:sz="0" w:space="0" w:color="auto"/>
          </w:divBdr>
        </w:div>
      </w:divsChild>
    </w:div>
    <w:div w:id="1368220477">
      <w:bodyDiv w:val="1"/>
      <w:marLeft w:val="0"/>
      <w:marRight w:val="0"/>
      <w:marTop w:val="0"/>
      <w:marBottom w:val="0"/>
      <w:divBdr>
        <w:top w:val="none" w:sz="0" w:space="0" w:color="auto"/>
        <w:left w:val="none" w:sz="0" w:space="0" w:color="auto"/>
        <w:bottom w:val="none" w:sz="0" w:space="0" w:color="auto"/>
        <w:right w:val="none" w:sz="0" w:space="0" w:color="auto"/>
      </w:divBdr>
      <w:divsChild>
        <w:div w:id="1019895583">
          <w:marLeft w:val="0"/>
          <w:marRight w:val="0"/>
          <w:marTop w:val="0"/>
          <w:marBottom w:val="0"/>
          <w:divBdr>
            <w:top w:val="none" w:sz="0" w:space="0" w:color="auto"/>
            <w:left w:val="none" w:sz="0" w:space="0" w:color="auto"/>
            <w:bottom w:val="none" w:sz="0" w:space="0" w:color="auto"/>
            <w:right w:val="none" w:sz="0" w:space="0" w:color="auto"/>
          </w:divBdr>
        </w:div>
      </w:divsChild>
    </w:div>
    <w:div w:id="1726677579">
      <w:bodyDiv w:val="1"/>
      <w:marLeft w:val="0"/>
      <w:marRight w:val="0"/>
      <w:marTop w:val="0"/>
      <w:marBottom w:val="0"/>
      <w:divBdr>
        <w:top w:val="none" w:sz="0" w:space="0" w:color="auto"/>
        <w:left w:val="none" w:sz="0" w:space="0" w:color="auto"/>
        <w:bottom w:val="none" w:sz="0" w:space="0" w:color="auto"/>
        <w:right w:val="none" w:sz="0" w:space="0" w:color="auto"/>
      </w:divBdr>
      <w:divsChild>
        <w:div w:id="822350485">
          <w:marLeft w:val="0"/>
          <w:marRight w:val="0"/>
          <w:marTop w:val="0"/>
          <w:marBottom w:val="0"/>
          <w:divBdr>
            <w:top w:val="none" w:sz="0" w:space="0" w:color="auto"/>
            <w:left w:val="none" w:sz="0" w:space="0" w:color="auto"/>
            <w:bottom w:val="none" w:sz="0" w:space="0" w:color="auto"/>
            <w:right w:val="none" w:sz="0" w:space="0" w:color="auto"/>
          </w:divBdr>
        </w:div>
      </w:divsChild>
    </w:div>
    <w:div w:id="1945654353">
      <w:bodyDiv w:val="1"/>
      <w:marLeft w:val="0"/>
      <w:marRight w:val="0"/>
      <w:marTop w:val="0"/>
      <w:marBottom w:val="0"/>
      <w:divBdr>
        <w:top w:val="none" w:sz="0" w:space="0" w:color="auto"/>
        <w:left w:val="none" w:sz="0" w:space="0" w:color="auto"/>
        <w:bottom w:val="none" w:sz="0" w:space="0" w:color="auto"/>
        <w:right w:val="none" w:sz="0" w:space="0" w:color="auto"/>
      </w:divBdr>
      <w:divsChild>
        <w:div w:id="847523065">
          <w:marLeft w:val="0"/>
          <w:marRight w:val="0"/>
          <w:marTop w:val="0"/>
          <w:marBottom w:val="0"/>
          <w:divBdr>
            <w:top w:val="none" w:sz="0" w:space="0" w:color="auto"/>
            <w:left w:val="none" w:sz="0" w:space="0" w:color="auto"/>
            <w:bottom w:val="none" w:sz="0" w:space="0" w:color="auto"/>
            <w:right w:val="none" w:sz="0" w:space="0" w:color="auto"/>
          </w:divBdr>
        </w:div>
      </w:divsChild>
    </w:div>
    <w:div w:id="1953129497">
      <w:bodyDiv w:val="1"/>
      <w:marLeft w:val="0"/>
      <w:marRight w:val="0"/>
      <w:marTop w:val="0"/>
      <w:marBottom w:val="0"/>
      <w:divBdr>
        <w:top w:val="none" w:sz="0" w:space="0" w:color="auto"/>
        <w:left w:val="none" w:sz="0" w:space="0" w:color="auto"/>
        <w:bottom w:val="none" w:sz="0" w:space="0" w:color="auto"/>
        <w:right w:val="none" w:sz="0" w:space="0" w:color="auto"/>
      </w:divBdr>
    </w:div>
    <w:div w:id="1996061242">
      <w:bodyDiv w:val="1"/>
      <w:marLeft w:val="0"/>
      <w:marRight w:val="0"/>
      <w:marTop w:val="0"/>
      <w:marBottom w:val="0"/>
      <w:divBdr>
        <w:top w:val="none" w:sz="0" w:space="0" w:color="auto"/>
        <w:left w:val="none" w:sz="0" w:space="0" w:color="auto"/>
        <w:bottom w:val="none" w:sz="0" w:space="0" w:color="auto"/>
        <w:right w:val="none" w:sz="0" w:space="0" w:color="auto"/>
      </w:divBdr>
    </w:div>
    <w:div w:id="20834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11079-020-09597-0" TargetMode="External"/><Relationship Id="rId18" Type="http://schemas.openxmlformats.org/officeDocument/2006/relationships/diagramColors" Target="diagrams/colors1.xm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pendocs.ids.ac.uk/opendocs/bitstream/handle/123456789/10243/ICTD_WP15.pdf" TargetMode="Externa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pdf.usaid.gov/pdf_docs/pbaae640.pdf"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diagramColors" Target="diagrams/colors2.xm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hyperlink" Target="https://www.st-andrews.ac.uk/~grade/doh/" TargetMode="External"/><Relationship Id="rId10" Type="http://schemas.openxmlformats.org/officeDocument/2006/relationships/image" Target="media/image1.png"/><Relationship Id="rId19" Type="http://schemas.microsoft.com/office/2007/relationships/diagramDrawing" Target="diagrams/drawing1.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axjustice.net/reports/the-state-of-tax-justice-2020/" TargetMode="External"/><Relationship Id="rId22" Type="http://schemas.openxmlformats.org/officeDocument/2006/relationships/diagramLayout" Target="diagrams/layout2.xml"/><Relationship Id="rId27" Type="http://schemas.openxmlformats.org/officeDocument/2006/relationships/chart" Target="charts/chart2.xml"/><Relationship Id="rId30" Type="http://schemas.openxmlformats.org/officeDocument/2006/relationships/image" Target="media/image4.jpeg"/><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Abadi Extra Light" panose="020B0204020104020204" pitchFamily="34" charset="0"/>
                <a:ea typeface="+mn-ea"/>
                <a:cs typeface="+mn-cs"/>
              </a:defRPr>
            </a:pPr>
            <a:r>
              <a:rPr lang="en-GB"/>
              <a:t>Impact on access to drinking water</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Abadi Extra Light" panose="020B0204020104020204" pitchFamily="34" charset="0"/>
              <a:ea typeface="+mn-ea"/>
              <a:cs typeface="+mn-cs"/>
            </a:defRPr>
          </a:pPr>
          <a:endParaRPr lang="en-US"/>
        </a:p>
      </c:txPr>
    </c:title>
    <c:autoTitleDeleted val="0"/>
    <c:plotArea>
      <c:layout/>
      <c:barChart>
        <c:barDir val="col"/>
        <c:grouping val="stacked"/>
        <c:varyColors val="0"/>
        <c:ser>
          <c:idx val="0"/>
          <c:order val="0"/>
          <c:tx>
            <c:strRef>
              <c:f>Sheet1!$B$1</c:f>
              <c:strCache>
                <c:ptCount val="1"/>
                <c:pt idx="0">
                  <c:v>All</c:v>
                </c:pt>
              </c:strCache>
            </c:strRef>
          </c:tx>
          <c:spPr>
            <a:gradFill rotWithShape="1">
              <a:gsLst>
                <a:gs pos="0">
                  <a:schemeClr val="accent5">
                    <a:shade val="65000"/>
                    <a:lumMod val="110000"/>
                    <a:satMod val="105000"/>
                    <a:tint val="67000"/>
                  </a:schemeClr>
                </a:gs>
                <a:gs pos="50000">
                  <a:schemeClr val="accent5">
                    <a:shade val="65000"/>
                    <a:lumMod val="105000"/>
                    <a:satMod val="103000"/>
                    <a:tint val="73000"/>
                  </a:schemeClr>
                </a:gs>
                <a:gs pos="100000">
                  <a:schemeClr val="accent5">
                    <a:shade val="65000"/>
                    <a:lumMod val="105000"/>
                    <a:satMod val="109000"/>
                    <a:tint val="81000"/>
                  </a:schemeClr>
                </a:gs>
              </a:gsLst>
              <a:lin ang="5400000" scaled="0"/>
            </a:gradFill>
            <a:ln w="9525" cap="flat" cmpd="sng" algn="ctr">
              <a:solidFill>
                <a:schemeClr val="accent5">
                  <a:shade val="65000"/>
                  <a:shade val="95000"/>
                </a:schemeClr>
              </a:solidFill>
              <a:round/>
            </a:ln>
            <a:effectLst/>
          </c:spPr>
          <c:invertIfNegative val="0"/>
          <c:dLbls>
            <c:dLbl>
              <c:idx val="0"/>
              <c:tx>
                <c:rich>
                  <a:bodyPr/>
                  <a:lstStyle/>
                  <a:p>
                    <a:r>
                      <a:rPr lang="en-US" sz="900" b="1" i="0" u="sng" strike="noStrike" baseline="0">
                        <a:effectLst/>
                      </a:rPr>
                      <a:t>940,042</a:t>
                    </a:r>
                    <a:endParaRPr lang="en-US" b="1" u="sng"/>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E5C-4CB5-9E42-D4CC0BD0C8AE}"/>
                </c:ext>
              </c:extLst>
            </c:dLbl>
            <c:dLbl>
              <c:idx val="1"/>
              <c:tx>
                <c:rich>
                  <a:bodyPr/>
                  <a:lstStyle/>
                  <a:p>
                    <a:r>
                      <a:rPr lang="en-US" b="1" u="sng"/>
                      <a:t>434,599</a:t>
                    </a:r>
                  </a:p>
                </c:rich>
              </c:tx>
              <c:showLegendKey val="0"/>
              <c:showVal val="1"/>
              <c:showCatName val="0"/>
              <c:showSerName val="0"/>
              <c:showPercent val="0"/>
              <c:showBubbleSize val="0"/>
              <c:extLst>
                <c:ext xmlns:c15="http://schemas.microsoft.com/office/drawing/2012/chart" uri="{CE6537A1-D6FC-4f65-9D91-7224C49458BB}">
                  <c15:layout>
                    <c:manualLayout>
                      <c:w val="0.234709314890858"/>
                      <c:h val="6.7857296526458777E-2"/>
                    </c:manualLayout>
                  </c15:layout>
                  <c15:showDataLabelsRange val="0"/>
                </c:ext>
                <c:ext xmlns:c16="http://schemas.microsoft.com/office/drawing/2014/chart" uri="{C3380CC4-5D6E-409C-BE32-E72D297353CC}">
                  <c16:uniqueId val="{00000001-7E5C-4CB5-9E42-D4CC0BD0C8A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Basic Drinking Water</c:v>
                </c:pt>
                <c:pt idx="1">
                  <c:v>Safe Drinking Water</c:v>
                </c:pt>
              </c:strCache>
            </c:strRef>
          </c:cat>
          <c:val>
            <c:numRef>
              <c:f>Sheet1!$B$2:$B$3</c:f>
              <c:numCache>
                <c:formatCode>#,##0</c:formatCode>
                <c:ptCount val="2"/>
                <c:pt idx="0">
                  <c:v>589568</c:v>
                </c:pt>
                <c:pt idx="1">
                  <c:v>273025</c:v>
                </c:pt>
              </c:numCache>
            </c:numRef>
          </c:val>
          <c:extLst>
            <c:ext xmlns:c16="http://schemas.microsoft.com/office/drawing/2014/chart" uri="{C3380CC4-5D6E-409C-BE32-E72D297353CC}">
              <c16:uniqueId val="{00000002-7E5C-4CB5-9E42-D4CC0BD0C8AE}"/>
            </c:ext>
          </c:extLst>
        </c:ser>
        <c:ser>
          <c:idx val="1"/>
          <c:order val="1"/>
          <c:tx>
            <c:strRef>
              <c:f>Sheet1!$C$1</c:f>
              <c:strCache>
                <c:ptCount val="1"/>
                <c:pt idx="0">
                  <c:v>U5</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dLbl>
              <c:idx val="0"/>
              <c:tx>
                <c:rich>
                  <a:bodyPr/>
                  <a:lstStyle/>
                  <a:p>
                    <a:r>
                      <a:rPr lang="en-US" sz="900" b="0" i="0" u="none" strike="noStrike" baseline="0">
                        <a:effectLst/>
                      </a:rPr>
                      <a:t>115,533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E5C-4CB5-9E42-D4CC0BD0C8A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Basic Drinking Water</c:v>
                </c:pt>
                <c:pt idx="1">
                  <c:v>Safe Drinking Water</c:v>
                </c:pt>
              </c:strCache>
            </c:strRef>
          </c:cat>
          <c:val>
            <c:numRef>
              <c:f>Sheet1!$C$2:$C$3</c:f>
              <c:numCache>
                <c:formatCode>#,##0</c:formatCode>
                <c:ptCount val="2"/>
                <c:pt idx="0">
                  <c:v>113533</c:v>
                </c:pt>
                <c:pt idx="1">
                  <c:v>48697</c:v>
                </c:pt>
              </c:numCache>
            </c:numRef>
          </c:val>
          <c:extLst>
            <c:ext xmlns:c16="http://schemas.microsoft.com/office/drawing/2014/chart" uri="{C3380CC4-5D6E-409C-BE32-E72D297353CC}">
              <c16:uniqueId val="{00000005-7E5C-4CB5-9E42-D4CC0BD0C8AE}"/>
            </c:ext>
          </c:extLst>
        </c:ser>
        <c:ser>
          <c:idx val="2"/>
          <c:order val="2"/>
          <c:tx>
            <c:strRef>
              <c:f>Sheet1!$D$1</c:f>
              <c:strCache>
                <c:ptCount val="1"/>
                <c:pt idx="0">
                  <c:v>Women</c:v>
                </c:pt>
              </c:strCache>
            </c:strRef>
          </c:tx>
          <c:spPr>
            <a:gradFill rotWithShape="1">
              <a:gsLst>
                <a:gs pos="0">
                  <a:schemeClr val="accent5">
                    <a:tint val="65000"/>
                    <a:lumMod val="110000"/>
                    <a:satMod val="105000"/>
                    <a:tint val="67000"/>
                  </a:schemeClr>
                </a:gs>
                <a:gs pos="50000">
                  <a:schemeClr val="accent5">
                    <a:tint val="65000"/>
                    <a:lumMod val="105000"/>
                    <a:satMod val="103000"/>
                    <a:tint val="73000"/>
                  </a:schemeClr>
                </a:gs>
                <a:gs pos="100000">
                  <a:schemeClr val="accent5">
                    <a:tint val="65000"/>
                    <a:lumMod val="105000"/>
                    <a:satMod val="109000"/>
                    <a:tint val="81000"/>
                  </a:schemeClr>
                </a:gs>
              </a:gsLst>
              <a:lin ang="5400000" scaled="0"/>
            </a:gradFill>
            <a:ln w="9525" cap="flat" cmpd="sng" algn="ctr">
              <a:solidFill>
                <a:schemeClr val="accent5">
                  <a:tint val="65000"/>
                  <a:shade val="95000"/>
                </a:schemeClr>
              </a:solidFill>
              <a:round/>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09-40D4-8D3C-D0AD8F4B5D3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09-40D4-8D3C-D0AD8F4B5D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Basic Drinking Water</c:v>
                </c:pt>
                <c:pt idx="1">
                  <c:v>Safe Drinking Water</c:v>
                </c:pt>
              </c:strCache>
            </c:strRef>
          </c:cat>
          <c:val>
            <c:numRef>
              <c:f>Sheet1!$D$2:$D$3</c:f>
              <c:numCache>
                <c:formatCode>#,##0</c:formatCode>
                <c:ptCount val="2"/>
                <c:pt idx="0">
                  <c:v>236941</c:v>
                </c:pt>
                <c:pt idx="1">
                  <c:v>112877</c:v>
                </c:pt>
              </c:numCache>
            </c:numRef>
          </c:val>
          <c:extLst>
            <c:ext xmlns:c16="http://schemas.microsoft.com/office/drawing/2014/chart" uri="{C3380CC4-5D6E-409C-BE32-E72D297353CC}">
              <c16:uniqueId val="{00000001-E109-40D4-8D3C-D0AD8F4B5D38}"/>
            </c:ext>
          </c:extLst>
        </c:ser>
        <c:dLbls>
          <c:showLegendKey val="0"/>
          <c:showVal val="0"/>
          <c:showCatName val="0"/>
          <c:showSerName val="0"/>
          <c:showPercent val="0"/>
          <c:showBubbleSize val="0"/>
        </c:dLbls>
        <c:gapWidth val="150"/>
        <c:overlap val="100"/>
        <c:axId val="474963327"/>
        <c:axId val="474964159"/>
      </c:barChart>
      <c:catAx>
        <c:axId val="474963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crossAx val="474964159"/>
        <c:crosses val="autoZero"/>
        <c:auto val="1"/>
        <c:lblAlgn val="ctr"/>
        <c:lblOffset val="100"/>
        <c:noMultiLvlLbl val="0"/>
      </c:catAx>
      <c:valAx>
        <c:axId val="4749641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crossAx val="474963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badi Extra Light" panose="020B0204020104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Abadi Extra Light" panose="020B0204020104020204" pitchFamily="34" charset="0"/>
                <a:ea typeface="+mn-ea"/>
                <a:cs typeface="+mn-cs"/>
              </a:defRPr>
            </a:pPr>
            <a:r>
              <a:rPr lang="en-GB"/>
              <a:t>Impact</a:t>
            </a:r>
            <a:r>
              <a:rPr lang="en-GB" baseline="0"/>
              <a:t> on a</a:t>
            </a:r>
            <a:r>
              <a:rPr lang="en-GB"/>
              <a:t>ccess to sanitation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Abadi Extra Light" panose="020B0204020104020204" pitchFamily="34" charset="0"/>
              <a:ea typeface="+mn-ea"/>
              <a:cs typeface="+mn-cs"/>
            </a:defRPr>
          </a:pPr>
          <a:endParaRPr lang="en-US"/>
        </a:p>
      </c:txPr>
    </c:title>
    <c:autoTitleDeleted val="0"/>
    <c:plotArea>
      <c:layout/>
      <c:barChart>
        <c:barDir val="col"/>
        <c:grouping val="stacked"/>
        <c:varyColors val="0"/>
        <c:ser>
          <c:idx val="0"/>
          <c:order val="0"/>
          <c:tx>
            <c:strRef>
              <c:f>Sheet1!$B$1</c:f>
              <c:strCache>
                <c:ptCount val="1"/>
                <c:pt idx="0">
                  <c:v>All</c:v>
                </c:pt>
              </c:strCache>
            </c:strRef>
          </c:tx>
          <c:spPr>
            <a:gradFill rotWithShape="1">
              <a:gsLst>
                <a:gs pos="0">
                  <a:schemeClr val="accent5">
                    <a:shade val="65000"/>
                    <a:lumMod val="110000"/>
                    <a:satMod val="105000"/>
                    <a:tint val="67000"/>
                  </a:schemeClr>
                </a:gs>
                <a:gs pos="50000">
                  <a:schemeClr val="accent5">
                    <a:shade val="65000"/>
                    <a:lumMod val="105000"/>
                    <a:satMod val="103000"/>
                    <a:tint val="73000"/>
                  </a:schemeClr>
                </a:gs>
                <a:gs pos="100000">
                  <a:schemeClr val="accent5">
                    <a:shade val="65000"/>
                    <a:lumMod val="105000"/>
                    <a:satMod val="109000"/>
                    <a:tint val="81000"/>
                  </a:schemeClr>
                </a:gs>
              </a:gsLst>
              <a:lin ang="5400000" scaled="0"/>
            </a:gradFill>
            <a:ln w="9525" cap="flat" cmpd="sng" algn="ctr">
              <a:solidFill>
                <a:schemeClr val="accent5">
                  <a:shade val="65000"/>
                  <a:shade val="95000"/>
                </a:schemeClr>
              </a:solidFill>
              <a:round/>
            </a:ln>
            <a:effectLst/>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badi Extra Light" panose="020B0204020104020204" pitchFamily="34" charset="0"/>
                        <a:ea typeface="+mn-ea"/>
                        <a:cs typeface="+mn-cs"/>
                      </a:defRPr>
                    </a:pPr>
                    <a:r>
                      <a:rPr lang="en-US" b="1" u="sng"/>
                      <a:t>1,856,593</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23215630885122407"/>
                      <c:h val="6.4118723317747511E-2"/>
                    </c:manualLayout>
                  </c15:layout>
                  <c15:showDataLabelsRange val="0"/>
                </c:ext>
                <c:ext xmlns:c16="http://schemas.microsoft.com/office/drawing/2014/chart" uri="{C3380CC4-5D6E-409C-BE32-E72D297353CC}">
                  <c16:uniqueId val="{00000000-8050-49C3-98FF-F800B06E6C11}"/>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badi Extra Light" panose="020B0204020104020204" pitchFamily="34" charset="0"/>
                        <a:ea typeface="+mn-ea"/>
                        <a:cs typeface="+mn-cs"/>
                      </a:defRPr>
                    </a:pPr>
                    <a:r>
                      <a:rPr lang="en-US" b="1" u="sng"/>
                      <a:t>146,547</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8020263356910893"/>
                      <c:h val="7.2183114919822308E-2"/>
                    </c:manualLayout>
                  </c15:layout>
                  <c15:showDataLabelsRange val="0"/>
                </c:ext>
                <c:ext xmlns:c16="http://schemas.microsoft.com/office/drawing/2014/chart" uri="{C3380CC4-5D6E-409C-BE32-E72D297353CC}">
                  <c16:uniqueId val="{00000001-8050-49C3-98FF-F800B06E6C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Basic sanitation</c:v>
                </c:pt>
                <c:pt idx="1">
                  <c:v>Safe sanitation</c:v>
                </c:pt>
              </c:strCache>
            </c:strRef>
          </c:cat>
          <c:val>
            <c:numRef>
              <c:f>Sheet1!$B$2:$B$3</c:f>
              <c:numCache>
                <c:formatCode>#,##0</c:formatCode>
                <c:ptCount val="2"/>
                <c:pt idx="0">
                  <c:v>1160389</c:v>
                </c:pt>
                <c:pt idx="1">
                  <c:v>98849</c:v>
                </c:pt>
              </c:numCache>
            </c:numRef>
          </c:val>
          <c:extLst>
            <c:ext xmlns:c16="http://schemas.microsoft.com/office/drawing/2014/chart" uri="{C3380CC4-5D6E-409C-BE32-E72D297353CC}">
              <c16:uniqueId val="{00000002-8050-49C3-98FF-F800B06E6C11}"/>
            </c:ext>
          </c:extLst>
        </c:ser>
        <c:ser>
          <c:idx val="1"/>
          <c:order val="1"/>
          <c:tx>
            <c:strRef>
              <c:f>Sheet1!$C$1</c:f>
              <c:strCache>
                <c:ptCount val="1"/>
                <c:pt idx="0">
                  <c:v>U5</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dLbls>
            <c:dLbl>
              <c:idx val="0"/>
              <c:tx>
                <c:rich>
                  <a:bodyPr/>
                  <a:lstStyle/>
                  <a:p>
                    <a:r>
                      <a:rPr lang="en-US" sz="900" b="0" i="0" u="none" strike="noStrike" baseline="0">
                        <a:effectLst/>
                      </a:rPr>
                      <a:t>231,371</a:t>
                    </a:r>
                    <a:r>
                      <a:rPr lang="en-US" sz="900" b="0" i="0" u="none" strike="noStrike" baseline="0"/>
                      <a:t> </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050-49C3-98FF-F800B06E6C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Basic sanitation</c:v>
                </c:pt>
                <c:pt idx="1">
                  <c:v>Safe sanitation</c:v>
                </c:pt>
              </c:strCache>
            </c:strRef>
          </c:cat>
          <c:val>
            <c:numRef>
              <c:f>Sheet1!$C$2:$C$3</c:f>
              <c:numCache>
                <c:formatCode>#,##0</c:formatCode>
                <c:ptCount val="2"/>
                <c:pt idx="0">
                  <c:v>231371</c:v>
                </c:pt>
                <c:pt idx="1">
                  <c:v>10939</c:v>
                </c:pt>
              </c:numCache>
            </c:numRef>
          </c:val>
          <c:extLst>
            <c:ext xmlns:c16="http://schemas.microsoft.com/office/drawing/2014/chart" uri="{C3380CC4-5D6E-409C-BE32-E72D297353CC}">
              <c16:uniqueId val="{00000004-8050-49C3-98FF-F800B06E6C11}"/>
            </c:ext>
          </c:extLst>
        </c:ser>
        <c:ser>
          <c:idx val="2"/>
          <c:order val="2"/>
          <c:tx>
            <c:strRef>
              <c:f>Sheet1!$D$1</c:f>
              <c:strCache>
                <c:ptCount val="1"/>
                <c:pt idx="0">
                  <c:v>Women</c:v>
                </c:pt>
              </c:strCache>
            </c:strRef>
          </c:tx>
          <c:spPr>
            <a:gradFill rotWithShape="1">
              <a:gsLst>
                <a:gs pos="0">
                  <a:schemeClr val="accent5">
                    <a:tint val="65000"/>
                    <a:lumMod val="110000"/>
                    <a:satMod val="105000"/>
                    <a:tint val="67000"/>
                  </a:schemeClr>
                </a:gs>
                <a:gs pos="50000">
                  <a:schemeClr val="accent5">
                    <a:tint val="65000"/>
                    <a:lumMod val="105000"/>
                    <a:satMod val="103000"/>
                    <a:tint val="73000"/>
                  </a:schemeClr>
                </a:gs>
                <a:gs pos="100000">
                  <a:schemeClr val="accent5">
                    <a:tint val="65000"/>
                    <a:lumMod val="105000"/>
                    <a:satMod val="109000"/>
                    <a:tint val="81000"/>
                  </a:schemeClr>
                </a:gs>
              </a:gsLst>
              <a:lin ang="5400000" scaled="0"/>
            </a:gradFill>
            <a:ln w="9525" cap="flat" cmpd="sng" algn="ctr">
              <a:solidFill>
                <a:schemeClr val="accent5">
                  <a:tint val="65000"/>
                  <a:shade val="95000"/>
                </a:schemeClr>
              </a:solidFill>
              <a:round/>
            </a:ln>
            <a:effectLst/>
          </c:spPr>
          <c:invertIfNegative val="0"/>
          <c:dLbls>
            <c:dLbl>
              <c:idx val="1"/>
              <c:layout>
                <c:manualLayout>
                  <c:x val="-8.6314131579796564E-17"/>
                  <c:y val="-3.140950137416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DE-4ECA-8327-14BD2F59A3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Basic sanitation</c:v>
                </c:pt>
                <c:pt idx="1">
                  <c:v>Safe sanitation</c:v>
                </c:pt>
              </c:strCache>
            </c:strRef>
          </c:cat>
          <c:val>
            <c:numRef>
              <c:f>Sheet1!$D$2:$D$3</c:f>
              <c:numCache>
                <c:formatCode>#,##0</c:formatCode>
                <c:ptCount val="2"/>
                <c:pt idx="0">
                  <c:v>464833</c:v>
                </c:pt>
                <c:pt idx="1">
                  <c:v>36759</c:v>
                </c:pt>
              </c:numCache>
            </c:numRef>
          </c:val>
          <c:extLst>
            <c:ext xmlns:c16="http://schemas.microsoft.com/office/drawing/2014/chart" uri="{C3380CC4-5D6E-409C-BE32-E72D297353CC}">
              <c16:uniqueId val="{00000001-6BDE-4ECA-8327-14BD2F59A3DF}"/>
            </c:ext>
          </c:extLst>
        </c:ser>
        <c:dLbls>
          <c:showLegendKey val="0"/>
          <c:showVal val="0"/>
          <c:showCatName val="0"/>
          <c:showSerName val="0"/>
          <c:showPercent val="0"/>
          <c:showBubbleSize val="0"/>
        </c:dLbls>
        <c:gapWidth val="150"/>
        <c:overlap val="100"/>
        <c:axId val="382468639"/>
        <c:axId val="382471135"/>
      </c:barChart>
      <c:catAx>
        <c:axId val="382468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crossAx val="382471135"/>
        <c:crosses val="autoZero"/>
        <c:auto val="1"/>
        <c:lblAlgn val="ctr"/>
        <c:lblOffset val="100"/>
        <c:noMultiLvlLbl val="0"/>
      </c:catAx>
      <c:valAx>
        <c:axId val="3824711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crossAx val="382468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badi Extra Light" panose="020B0204020104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badi Extra Light" panose="020B0204020104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62A379-F021-4E2E-B6E6-3E7CBE5AAEF1}" type="doc">
      <dgm:prSet loTypeId="urn:microsoft.com/office/officeart/2005/8/layout/hierarchy1" loCatId="hierarchy" qsTypeId="urn:microsoft.com/office/officeart/2005/8/quickstyle/3d4" qsCatId="3D" csTypeId="urn:microsoft.com/office/officeart/2005/8/colors/accent5_3" csCatId="accent5" phldr="1"/>
      <dgm:spPr/>
      <dgm:t>
        <a:bodyPr/>
        <a:lstStyle/>
        <a:p>
          <a:endParaRPr lang="en-GB"/>
        </a:p>
      </dgm:t>
    </dgm:pt>
    <dgm:pt modelId="{1EF4D811-E182-4170-83A0-54E52F23401B}">
      <dgm:prSet phldrT="[Text]" custT="1"/>
      <dgm:spPr/>
      <dgm:t>
        <a:bodyPr/>
        <a:lstStyle/>
        <a:p>
          <a:r>
            <a:rPr lang="en-GB" sz="1600" u="sng">
              <a:latin typeface="Abadi Extra Light" panose="020B0204020104020204" pitchFamily="34" charset="0"/>
            </a:rPr>
            <a:t>Share of total harm through tax abuses to other countries</a:t>
          </a:r>
        </a:p>
        <a:p>
          <a:r>
            <a:rPr lang="en-GB" sz="2400" b="1">
              <a:latin typeface="Abadi Extra Light" panose="020B0204020104020204" pitchFamily="34" charset="0"/>
            </a:rPr>
            <a:t>3%</a:t>
          </a:r>
          <a:br>
            <a:rPr lang="en-GB" sz="2400" b="1">
              <a:latin typeface="Abadi Extra Light" panose="020B0204020104020204" pitchFamily="34" charset="0"/>
            </a:rPr>
          </a:br>
          <a:r>
            <a:rPr lang="en-GB" sz="1100" b="1">
              <a:latin typeface="Abadi Extra Light" panose="020B0204020104020204" pitchFamily="34" charset="0"/>
            </a:rPr>
            <a:t>~$13 US Billion </a:t>
          </a:r>
          <a:r>
            <a:rPr lang="en-GB" sz="1100">
              <a:latin typeface="Abadi Extra Light" panose="020B0204020104020204" pitchFamily="34" charset="0"/>
            </a:rPr>
            <a:t>of a global total of $427 US Billion </a:t>
          </a:r>
        </a:p>
      </dgm:t>
    </dgm:pt>
    <dgm:pt modelId="{014B3440-78A0-4B9E-B185-F093853E8428}" type="parTrans" cxnId="{478194E3-B745-40DC-A35D-477C21F7397E}">
      <dgm:prSet/>
      <dgm:spPr/>
      <dgm:t>
        <a:bodyPr/>
        <a:lstStyle/>
        <a:p>
          <a:endParaRPr lang="en-GB"/>
        </a:p>
      </dgm:t>
    </dgm:pt>
    <dgm:pt modelId="{BC5B87BB-9E8D-41F3-89FA-44046D26480E}" type="sibTrans" cxnId="{478194E3-B745-40DC-A35D-477C21F7397E}">
      <dgm:prSet/>
      <dgm:spPr/>
      <dgm:t>
        <a:bodyPr/>
        <a:lstStyle/>
        <a:p>
          <a:endParaRPr lang="en-GB"/>
        </a:p>
      </dgm:t>
    </dgm:pt>
    <dgm:pt modelId="{977F1655-2430-4C7C-A1D9-998E8EC57046}">
      <dgm:prSet phldrT="[Text]" custT="1"/>
      <dgm:spPr/>
      <dgm:t>
        <a:bodyPr/>
        <a:lstStyle/>
        <a:p>
          <a:r>
            <a:rPr lang="en-GB" sz="1300" u="sng">
              <a:latin typeface="Abadi Extra Light" panose="020B0204020104020204" pitchFamily="34" charset="0"/>
            </a:rPr>
            <a:t>Share of Harm through Corporate Tax Abuse</a:t>
          </a:r>
        </a:p>
        <a:p>
          <a:r>
            <a:rPr lang="en-GB" sz="2400" b="1">
              <a:latin typeface="Abadi Extra Light" panose="020B0204020104020204" pitchFamily="34" charset="0"/>
            </a:rPr>
            <a:t>4%</a:t>
          </a:r>
        </a:p>
        <a:p>
          <a:r>
            <a:rPr lang="en-GB" sz="1100" b="1">
              <a:latin typeface="Abadi Extra Light" panose="020B0204020104020204" pitchFamily="34" charset="0"/>
            </a:rPr>
            <a:t>~$11 US Billion </a:t>
          </a:r>
          <a:r>
            <a:rPr lang="en-GB" sz="1100">
              <a:latin typeface="Abadi Extra Light" panose="020B0204020104020204" pitchFamily="34" charset="0"/>
            </a:rPr>
            <a:t>of a global total of $245 US Billion </a:t>
          </a:r>
          <a:endParaRPr lang="en-GB" sz="1100"/>
        </a:p>
      </dgm:t>
    </dgm:pt>
    <dgm:pt modelId="{D56DC9AE-EC12-4052-99F3-C6305ADE8C13}" type="parTrans" cxnId="{FA55B28E-C5C5-4380-B3B1-E8251D575882}">
      <dgm:prSet/>
      <dgm:spPr/>
      <dgm:t>
        <a:bodyPr/>
        <a:lstStyle/>
        <a:p>
          <a:endParaRPr lang="en-GB"/>
        </a:p>
      </dgm:t>
    </dgm:pt>
    <dgm:pt modelId="{3075CF83-F4B4-407E-8EA4-67DBF8574540}" type="sibTrans" cxnId="{FA55B28E-C5C5-4380-B3B1-E8251D575882}">
      <dgm:prSet/>
      <dgm:spPr/>
      <dgm:t>
        <a:bodyPr/>
        <a:lstStyle/>
        <a:p>
          <a:endParaRPr lang="en-GB"/>
        </a:p>
      </dgm:t>
    </dgm:pt>
    <dgm:pt modelId="{3244C945-5D4F-4057-9E37-14543A1C9374}">
      <dgm:prSet phldrT="[Text]" custT="1"/>
      <dgm:spPr/>
      <dgm:t>
        <a:bodyPr/>
        <a:lstStyle/>
        <a:p>
          <a:r>
            <a:rPr lang="en-GB" sz="1300" u="sng">
              <a:latin typeface="Abadi Extra Light" panose="020B0204020104020204" pitchFamily="34" charset="0"/>
            </a:rPr>
            <a:t>Share of Harm through Tax Evasion</a:t>
          </a:r>
        </a:p>
        <a:p>
          <a:r>
            <a:rPr lang="en-GB" sz="2400" b="1">
              <a:latin typeface="Abadi Extra Light" panose="020B0204020104020204" pitchFamily="34" charset="0"/>
            </a:rPr>
            <a:t>1%</a:t>
          </a:r>
        </a:p>
        <a:p>
          <a:r>
            <a:rPr lang="en-GB" sz="1100" b="1">
              <a:latin typeface="Abadi Extra Light" panose="020B0204020104020204" pitchFamily="34" charset="0"/>
            </a:rPr>
            <a:t>~$2 US Billion </a:t>
          </a:r>
          <a:r>
            <a:rPr lang="en-GB" sz="1100">
              <a:latin typeface="Abadi Extra Light" panose="020B0204020104020204" pitchFamily="34" charset="0"/>
            </a:rPr>
            <a:t>of a global total of $182 US Billion </a:t>
          </a:r>
          <a:endParaRPr lang="en-GB" sz="1100"/>
        </a:p>
      </dgm:t>
    </dgm:pt>
    <dgm:pt modelId="{276972AB-3FE0-48A1-8A01-15D9C6A1B0BB}" type="parTrans" cxnId="{ADDD44CC-441F-42B6-948E-378D46CCC5ED}">
      <dgm:prSet/>
      <dgm:spPr/>
      <dgm:t>
        <a:bodyPr/>
        <a:lstStyle/>
        <a:p>
          <a:endParaRPr lang="en-GB"/>
        </a:p>
      </dgm:t>
    </dgm:pt>
    <dgm:pt modelId="{EC4725DA-BF0C-493E-854B-B203CC1FC897}" type="sibTrans" cxnId="{ADDD44CC-441F-42B6-948E-378D46CCC5ED}">
      <dgm:prSet/>
      <dgm:spPr/>
      <dgm:t>
        <a:bodyPr/>
        <a:lstStyle/>
        <a:p>
          <a:endParaRPr lang="en-GB"/>
        </a:p>
      </dgm:t>
    </dgm:pt>
    <dgm:pt modelId="{365B8A48-FB8F-4952-B348-329A5DDC7619}" type="pres">
      <dgm:prSet presAssocID="{B262A379-F021-4E2E-B6E6-3E7CBE5AAEF1}" presName="hierChild1" presStyleCnt="0">
        <dgm:presLayoutVars>
          <dgm:chPref val="1"/>
          <dgm:dir/>
          <dgm:animOne val="branch"/>
          <dgm:animLvl val="lvl"/>
          <dgm:resizeHandles/>
        </dgm:presLayoutVars>
      </dgm:prSet>
      <dgm:spPr/>
    </dgm:pt>
    <dgm:pt modelId="{C24C51A0-F4A0-40FA-80B8-F72CED310D7B}" type="pres">
      <dgm:prSet presAssocID="{1EF4D811-E182-4170-83A0-54E52F23401B}" presName="hierRoot1" presStyleCnt="0"/>
      <dgm:spPr/>
    </dgm:pt>
    <dgm:pt modelId="{7C0D8BAB-E286-441F-ADB4-6AEDE4A805ED}" type="pres">
      <dgm:prSet presAssocID="{1EF4D811-E182-4170-83A0-54E52F23401B}" presName="composite" presStyleCnt="0"/>
      <dgm:spPr/>
    </dgm:pt>
    <dgm:pt modelId="{F65207EA-F56F-4BD2-B9A4-555DB2F25A66}" type="pres">
      <dgm:prSet presAssocID="{1EF4D811-E182-4170-83A0-54E52F23401B}" presName="background" presStyleLbl="node0" presStyleIdx="0" presStyleCnt="1"/>
      <dgm:spPr/>
    </dgm:pt>
    <dgm:pt modelId="{A180007C-1C92-4646-B75B-4F5BB0B776B3}" type="pres">
      <dgm:prSet presAssocID="{1EF4D811-E182-4170-83A0-54E52F23401B}" presName="text" presStyleLbl="fgAcc0" presStyleIdx="0" presStyleCnt="1" custScaleX="110809" custScaleY="117135">
        <dgm:presLayoutVars>
          <dgm:chPref val="3"/>
        </dgm:presLayoutVars>
      </dgm:prSet>
      <dgm:spPr/>
    </dgm:pt>
    <dgm:pt modelId="{0980F447-A0FE-4E36-B679-F3239FE6B4E0}" type="pres">
      <dgm:prSet presAssocID="{1EF4D811-E182-4170-83A0-54E52F23401B}" presName="hierChild2" presStyleCnt="0"/>
      <dgm:spPr/>
    </dgm:pt>
    <dgm:pt modelId="{A8B42CEB-E3B8-48B5-912E-34FA8383AC20}" type="pres">
      <dgm:prSet presAssocID="{D56DC9AE-EC12-4052-99F3-C6305ADE8C13}" presName="Name10" presStyleLbl="parChTrans1D2" presStyleIdx="0" presStyleCnt="2"/>
      <dgm:spPr/>
    </dgm:pt>
    <dgm:pt modelId="{924446FF-BFE8-47E5-9420-9ACD3F60ABEA}" type="pres">
      <dgm:prSet presAssocID="{977F1655-2430-4C7C-A1D9-998E8EC57046}" presName="hierRoot2" presStyleCnt="0"/>
      <dgm:spPr/>
    </dgm:pt>
    <dgm:pt modelId="{325744A4-36F5-4374-8749-6BB2EBF271CC}" type="pres">
      <dgm:prSet presAssocID="{977F1655-2430-4C7C-A1D9-998E8EC57046}" presName="composite2" presStyleCnt="0"/>
      <dgm:spPr/>
    </dgm:pt>
    <dgm:pt modelId="{19E4BC13-F5F5-4EC2-93F9-C7DE44B7543D}" type="pres">
      <dgm:prSet presAssocID="{977F1655-2430-4C7C-A1D9-998E8EC57046}" presName="background2" presStyleLbl="node2" presStyleIdx="0" presStyleCnt="2"/>
      <dgm:spPr/>
    </dgm:pt>
    <dgm:pt modelId="{78BEF690-9CA3-42F1-AD65-195A75EA9BD4}" type="pres">
      <dgm:prSet presAssocID="{977F1655-2430-4C7C-A1D9-998E8EC57046}" presName="text2" presStyleLbl="fgAcc2" presStyleIdx="0" presStyleCnt="2">
        <dgm:presLayoutVars>
          <dgm:chPref val="3"/>
        </dgm:presLayoutVars>
      </dgm:prSet>
      <dgm:spPr/>
    </dgm:pt>
    <dgm:pt modelId="{0646265E-D3BC-45AA-BF32-42AD94DB625D}" type="pres">
      <dgm:prSet presAssocID="{977F1655-2430-4C7C-A1D9-998E8EC57046}" presName="hierChild3" presStyleCnt="0"/>
      <dgm:spPr/>
    </dgm:pt>
    <dgm:pt modelId="{2AC5459D-D55D-4ED3-8FEB-3AA01F9E454F}" type="pres">
      <dgm:prSet presAssocID="{276972AB-3FE0-48A1-8A01-15D9C6A1B0BB}" presName="Name10" presStyleLbl="parChTrans1D2" presStyleIdx="1" presStyleCnt="2"/>
      <dgm:spPr/>
    </dgm:pt>
    <dgm:pt modelId="{66793CFA-BC76-4A28-B997-BB62A78CECB1}" type="pres">
      <dgm:prSet presAssocID="{3244C945-5D4F-4057-9E37-14543A1C9374}" presName="hierRoot2" presStyleCnt="0"/>
      <dgm:spPr/>
    </dgm:pt>
    <dgm:pt modelId="{E9DE1E75-C3DD-4AF5-90E7-9FBCF5FAF4C7}" type="pres">
      <dgm:prSet presAssocID="{3244C945-5D4F-4057-9E37-14543A1C9374}" presName="composite2" presStyleCnt="0"/>
      <dgm:spPr/>
    </dgm:pt>
    <dgm:pt modelId="{D511AA4B-DE8F-4E8A-B37F-D82D2D33E47F}" type="pres">
      <dgm:prSet presAssocID="{3244C945-5D4F-4057-9E37-14543A1C9374}" presName="background2" presStyleLbl="node2" presStyleIdx="1" presStyleCnt="2"/>
      <dgm:spPr/>
    </dgm:pt>
    <dgm:pt modelId="{D36D9D68-D171-46B7-8521-4BD3289FFAFF}" type="pres">
      <dgm:prSet presAssocID="{3244C945-5D4F-4057-9E37-14543A1C9374}" presName="text2" presStyleLbl="fgAcc2" presStyleIdx="1" presStyleCnt="2">
        <dgm:presLayoutVars>
          <dgm:chPref val="3"/>
        </dgm:presLayoutVars>
      </dgm:prSet>
      <dgm:spPr/>
    </dgm:pt>
    <dgm:pt modelId="{819B9F4A-E096-426E-9412-EB392D10956F}" type="pres">
      <dgm:prSet presAssocID="{3244C945-5D4F-4057-9E37-14543A1C9374}" presName="hierChild3" presStyleCnt="0"/>
      <dgm:spPr/>
    </dgm:pt>
  </dgm:ptLst>
  <dgm:cxnLst>
    <dgm:cxn modelId="{35AAE300-2246-46C4-943A-BAA5E5B7025D}" type="presOf" srcId="{B262A379-F021-4E2E-B6E6-3E7CBE5AAEF1}" destId="{365B8A48-FB8F-4952-B348-329A5DDC7619}" srcOrd="0" destOrd="0" presId="urn:microsoft.com/office/officeart/2005/8/layout/hierarchy1"/>
    <dgm:cxn modelId="{49CCC70A-EF72-49F1-9474-94C2E6DE4E5A}" type="presOf" srcId="{1EF4D811-E182-4170-83A0-54E52F23401B}" destId="{A180007C-1C92-4646-B75B-4F5BB0B776B3}" srcOrd="0" destOrd="0" presId="urn:microsoft.com/office/officeart/2005/8/layout/hierarchy1"/>
    <dgm:cxn modelId="{25875F52-2DA2-4601-97CB-24C43FCADC1E}" type="presOf" srcId="{977F1655-2430-4C7C-A1D9-998E8EC57046}" destId="{78BEF690-9CA3-42F1-AD65-195A75EA9BD4}" srcOrd="0" destOrd="0" presId="urn:microsoft.com/office/officeart/2005/8/layout/hierarchy1"/>
    <dgm:cxn modelId="{70B97C78-E3D9-4D80-AB88-918457ABFFB0}" type="presOf" srcId="{3244C945-5D4F-4057-9E37-14543A1C9374}" destId="{D36D9D68-D171-46B7-8521-4BD3289FFAFF}" srcOrd="0" destOrd="0" presId="urn:microsoft.com/office/officeart/2005/8/layout/hierarchy1"/>
    <dgm:cxn modelId="{FA55B28E-C5C5-4380-B3B1-E8251D575882}" srcId="{1EF4D811-E182-4170-83A0-54E52F23401B}" destId="{977F1655-2430-4C7C-A1D9-998E8EC57046}" srcOrd="0" destOrd="0" parTransId="{D56DC9AE-EC12-4052-99F3-C6305ADE8C13}" sibTransId="{3075CF83-F4B4-407E-8EA4-67DBF8574540}"/>
    <dgm:cxn modelId="{292370A6-AE30-4366-8CCB-4C4D3891ED6E}" type="presOf" srcId="{276972AB-3FE0-48A1-8A01-15D9C6A1B0BB}" destId="{2AC5459D-D55D-4ED3-8FEB-3AA01F9E454F}" srcOrd="0" destOrd="0" presId="urn:microsoft.com/office/officeart/2005/8/layout/hierarchy1"/>
    <dgm:cxn modelId="{ADDD44CC-441F-42B6-948E-378D46CCC5ED}" srcId="{1EF4D811-E182-4170-83A0-54E52F23401B}" destId="{3244C945-5D4F-4057-9E37-14543A1C9374}" srcOrd="1" destOrd="0" parTransId="{276972AB-3FE0-48A1-8A01-15D9C6A1B0BB}" sibTransId="{EC4725DA-BF0C-493E-854B-B203CC1FC897}"/>
    <dgm:cxn modelId="{478194E3-B745-40DC-A35D-477C21F7397E}" srcId="{B262A379-F021-4E2E-B6E6-3E7CBE5AAEF1}" destId="{1EF4D811-E182-4170-83A0-54E52F23401B}" srcOrd="0" destOrd="0" parTransId="{014B3440-78A0-4B9E-B185-F093853E8428}" sibTransId="{BC5B87BB-9E8D-41F3-89FA-44046D26480E}"/>
    <dgm:cxn modelId="{35B33DF8-79FE-435D-BC7D-F0AAD171EFEA}" type="presOf" srcId="{D56DC9AE-EC12-4052-99F3-C6305ADE8C13}" destId="{A8B42CEB-E3B8-48B5-912E-34FA8383AC20}" srcOrd="0" destOrd="0" presId="urn:microsoft.com/office/officeart/2005/8/layout/hierarchy1"/>
    <dgm:cxn modelId="{E42BC25D-B3EF-423A-AB79-044B64F2D94B}" type="presParOf" srcId="{365B8A48-FB8F-4952-B348-329A5DDC7619}" destId="{C24C51A0-F4A0-40FA-80B8-F72CED310D7B}" srcOrd="0" destOrd="0" presId="urn:microsoft.com/office/officeart/2005/8/layout/hierarchy1"/>
    <dgm:cxn modelId="{A1A89420-B8F6-443D-94F7-1504203B33A6}" type="presParOf" srcId="{C24C51A0-F4A0-40FA-80B8-F72CED310D7B}" destId="{7C0D8BAB-E286-441F-ADB4-6AEDE4A805ED}" srcOrd="0" destOrd="0" presId="urn:microsoft.com/office/officeart/2005/8/layout/hierarchy1"/>
    <dgm:cxn modelId="{26F1D3F5-3701-44A6-9E9F-BA88DBAEC5DC}" type="presParOf" srcId="{7C0D8BAB-E286-441F-ADB4-6AEDE4A805ED}" destId="{F65207EA-F56F-4BD2-B9A4-555DB2F25A66}" srcOrd="0" destOrd="0" presId="urn:microsoft.com/office/officeart/2005/8/layout/hierarchy1"/>
    <dgm:cxn modelId="{358D433C-0218-4148-992E-8BF0D1D820B4}" type="presParOf" srcId="{7C0D8BAB-E286-441F-ADB4-6AEDE4A805ED}" destId="{A180007C-1C92-4646-B75B-4F5BB0B776B3}" srcOrd="1" destOrd="0" presId="urn:microsoft.com/office/officeart/2005/8/layout/hierarchy1"/>
    <dgm:cxn modelId="{55ACE164-B6ED-4EB2-AB99-F1DAC1681CEF}" type="presParOf" srcId="{C24C51A0-F4A0-40FA-80B8-F72CED310D7B}" destId="{0980F447-A0FE-4E36-B679-F3239FE6B4E0}" srcOrd="1" destOrd="0" presId="urn:microsoft.com/office/officeart/2005/8/layout/hierarchy1"/>
    <dgm:cxn modelId="{74819DD8-265F-4610-ADC8-6B7E2906D378}" type="presParOf" srcId="{0980F447-A0FE-4E36-B679-F3239FE6B4E0}" destId="{A8B42CEB-E3B8-48B5-912E-34FA8383AC20}" srcOrd="0" destOrd="0" presId="urn:microsoft.com/office/officeart/2005/8/layout/hierarchy1"/>
    <dgm:cxn modelId="{699500D5-3FE5-4911-9383-71AC17BF8B95}" type="presParOf" srcId="{0980F447-A0FE-4E36-B679-F3239FE6B4E0}" destId="{924446FF-BFE8-47E5-9420-9ACD3F60ABEA}" srcOrd="1" destOrd="0" presId="urn:microsoft.com/office/officeart/2005/8/layout/hierarchy1"/>
    <dgm:cxn modelId="{D6E80CC7-0673-40F5-9065-4C4E09C90841}" type="presParOf" srcId="{924446FF-BFE8-47E5-9420-9ACD3F60ABEA}" destId="{325744A4-36F5-4374-8749-6BB2EBF271CC}" srcOrd="0" destOrd="0" presId="urn:microsoft.com/office/officeart/2005/8/layout/hierarchy1"/>
    <dgm:cxn modelId="{3D98A319-74B4-4207-B844-4A7C646CB625}" type="presParOf" srcId="{325744A4-36F5-4374-8749-6BB2EBF271CC}" destId="{19E4BC13-F5F5-4EC2-93F9-C7DE44B7543D}" srcOrd="0" destOrd="0" presId="urn:microsoft.com/office/officeart/2005/8/layout/hierarchy1"/>
    <dgm:cxn modelId="{4CC080C8-14E7-41D6-A4C2-484C078EBA05}" type="presParOf" srcId="{325744A4-36F5-4374-8749-6BB2EBF271CC}" destId="{78BEF690-9CA3-42F1-AD65-195A75EA9BD4}" srcOrd="1" destOrd="0" presId="urn:microsoft.com/office/officeart/2005/8/layout/hierarchy1"/>
    <dgm:cxn modelId="{65EF89E3-08B6-4E79-BC9D-4B6E80FE8D22}" type="presParOf" srcId="{924446FF-BFE8-47E5-9420-9ACD3F60ABEA}" destId="{0646265E-D3BC-45AA-BF32-42AD94DB625D}" srcOrd="1" destOrd="0" presId="urn:microsoft.com/office/officeart/2005/8/layout/hierarchy1"/>
    <dgm:cxn modelId="{7B47708F-A735-4B84-9611-14A654F97B05}" type="presParOf" srcId="{0980F447-A0FE-4E36-B679-F3239FE6B4E0}" destId="{2AC5459D-D55D-4ED3-8FEB-3AA01F9E454F}" srcOrd="2" destOrd="0" presId="urn:microsoft.com/office/officeart/2005/8/layout/hierarchy1"/>
    <dgm:cxn modelId="{6934D14B-2777-4F99-A035-F02BE85CC93C}" type="presParOf" srcId="{0980F447-A0FE-4E36-B679-F3239FE6B4E0}" destId="{66793CFA-BC76-4A28-B997-BB62A78CECB1}" srcOrd="3" destOrd="0" presId="urn:microsoft.com/office/officeart/2005/8/layout/hierarchy1"/>
    <dgm:cxn modelId="{8E24D42D-FA3D-4111-A7D6-A4B5634B9891}" type="presParOf" srcId="{66793CFA-BC76-4A28-B997-BB62A78CECB1}" destId="{E9DE1E75-C3DD-4AF5-90E7-9FBCF5FAF4C7}" srcOrd="0" destOrd="0" presId="urn:microsoft.com/office/officeart/2005/8/layout/hierarchy1"/>
    <dgm:cxn modelId="{436494F6-13F8-49A6-9B70-6A241AAE00B0}" type="presParOf" srcId="{E9DE1E75-C3DD-4AF5-90E7-9FBCF5FAF4C7}" destId="{D511AA4B-DE8F-4E8A-B37F-D82D2D33E47F}" srcOrd="0" destOrd="0" presId="urn:microsoft.com/office/officeart/2005/8/layout/hierarchy1"/>
    <dgm:cxn modelId="{3954B0F1-06B1-449B-990F-37E0C4987014}" type="presParOf" srcId="{E9DE1E75-C3DD-4AF5-90E7-9FBCF5FAF4C7}" destId="{D36D9D68-D171-46B7-8521-4BD3289FFAFF}" srcOrd="1" destOrd="0" presId="urn:microsoft.com/office/officeart/2005/8/layout/hierarchy1"/>
    <dgm:cxn modelId="{E4F7C471-5C23-42BA-BFA4-00EC1C0B62B4}" type="presParOf" srcId="{66793CFA-BC76-4A28-B997-BB62A78CECB1}" destId="{819B9F4A-E096-426E-9412-EB392D10956F}"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5AB11F-3B7A-41E2-AF2C-E6F9CDF35C61}" type="doc">
      <dgm:prSet loTypeId="urn:microsoft.com/office/officeart/2005/8/layout/hList9" loCatId="list" qsTypeId="urn:microsoft.com/office/officeart/2005/8/quickstyle/simple1" qsCatId="simple" csTypeId="urn:microsoft.com/office/officeart/2005/8/colors/accent5_3" csCatId="accent5" phldr="1"/>
      <dgm:spPr/>
      <dgm:t>
        <a:bodyPr/>
        <a:lstStyle/>
        <a:p>
          <a:endParaRPr lang="en-GB"/>
        </a:p>
      </dgm:t>
    </dgm:pt>
    <dgm:pt modelId="{B594A632-A192-43BA-A84F-080DCA077B32}">
      <dgm:prSet phldrT="[Text]"/>
      <dgm:spPr/>
      <dgm:t>
        <a:bodyPr/>
        <a:lstStyle/>
        <a:p>
          <a:pPr algn="ctr"/>
          <a:r>
            <a:rPr lang="en-GB">
              <a:latin typeface="Abadi Extra Light" panose="020B0204020104020204" pitchFamily="34" charset="0"/>
            </a:rPr>
            <a:t>Child deaths averted</a:t>
          </a:r>
        </a:p>
      </dgm:t>
    </dgm:pt>
    <dgm:pt modelId="{47E78B49-F322-44E5-8D5E-4797D8D5F7F2}" type="parTrans" cxnId="{1741B32C-BC64-4EFB-9D18-4A2CF4627FD7}">
      <dgm:prSet/>
      <dgm:spPr/>
      <dgm:t>
        <a:bodyPr/>
        <a:lstStyle/>
        <a:p>
          <a:pPr algn="ctr"/>
          <a:endParaRPr lang="en-GB">
            <a:latin typeface="Abadi Extra Light" panose="020B0204020104020204" pitchFamily="34" charset="0"/>
          </a:endParaRPr>
        </a:p>
      </dgm:t>
    </dgm:pt>
    <dgm:pt modelId="{3F37227F-376C-4F4C-83A4-B91DFC673971}" type="sibTrans" cxnId="{1741B32C-BC64-4EFB-9D18-4A2CF4627FD7}">
      <dgm:prSet/>
      <dgm:spPr/>
      <dgm:t>
        <a:bodyPr/>
        <a:lstStyle/>
        <a:p>
          <a:pPr algn="ctr"/>
          <a:endParaRPr lang="en-GB">
            <a:latin typeface="Abadi Extra Light" panose="020B0204020104020204" pitchFamily="34" charset="0"/>
          </a:endParaRPr>
        </a:p>
      </dgm:t>
    </dgm:pt>
    <dgm:pt modelId="{D2D45D6B-F610-4469-821F-B4091EB0CBED}">
      <dgm:prSet phldrT="[Text]"/>
      <dgm:spPr/>
      <dgm:t>
        <a:bodyPr/>
        <a:lstStyle/>
        <a:p>
          <a:pPr algn="ctr"/>
          <a:r>
            <a:rPr lang="en-GB">
              <a:latin typeface="Abadi Extra Light" panose="020B0204020104020204" pitchFamily="34" charset="0"/>
            </a:rPr>
            <a:t>32,725	</a:t>
          </a:r>
        </a:p>
      </dgm:t>
    </dgm:pt>
    <dgm:pt modelId="{FBE95478-80CB-4EB5-8D06-0A70209548B7}" type="parTrans" cxnId="{B8C31CD3-0796-4FE3-B3B3-38E88D7440D0}">
      <dgm:prSet/>
      <dgm:spPr/>
      <dgm:t>
        <a:bodyPr/>
        <a:lstStyle/>
        <a:p>
          <a:pPr algn="ctr"/>
          <a:endParaRPr lang="en-GB">
            <a:latin typeface="Abadi Extra Light" panose="020B0204020104020204" pitchFamily="34" charset="0"/>
          </a:endParaRPr>
        </a:p>
      </dgm:t>
    </dgm:pt>
    <dgm:pt modelId="{41214D79-FA01-4FBB-AB34-D5CC91D54F75}" type="sibTrans" cxnId="{B8C31CD3-0796-4FE3-B3B3-38E88D7440D0}">
      <dgm:prSet/>
      <dgm:spPr/>
      <dgm:t>
        <a:bodyPr/>
        <a:lstStyle/>
        <a:p>
          <a:pPr algn="ctr"/>
          <a:endParaRPr lang="en-GB">
            <a:latin typeface="Abadi Extra Light" panose="020B0204020104020204" pitchFamily="34" charset="0"/>
          </a:endParaRPr>
        </a:p>
      </dgm:t>
    </dgm:pt>
    <dgm:pt modelId="{E5F2B2DC-ACE2-4693-9CD3-125E5E679241}">
      <dgm:prSet phldrT="[Text]"/>
      <dgm:spPr/>
      <dgm:t>
        <a:bodyPr/>
        <a:lstStyle/>
        <a:p>
          <a:pPr algn="ctr"/>
          <a:r>
            <a:rPr lang="en-GB">
              <a:latin typeface="Abadi Extra Light" panose="020B0204020104020204" pitchFamily="34" charset="0"/>
            </a:rPr>
            <a:t>Extra school years	</a:t>
          </a:r>
        </a:p>
      </dgm:t>
    </dgm:pt>
    <dgm:pt modelId="{FD016DC8-9F57-47FF-BD17-89C46941D01C}" type="parTrans" cxnId="{8CB5A063-E7AC-4D20-B762-443045FAC452}">
      <dgm:prSet/>
      <dgm:spPr/>
      <dgm:t>
        <a:bodyPr/>
        <a:lstStyle/>
        <a:p>
          <a:pPr algn="ctr"/>
          <a:endParaRPr lang="en-GB">
            <a:latin typeface="Abadi Extra Light" panose="020B0204020104020204" pitchFamily="34" charset="0"/>
          </a:endParaRPr>
        </a:p>
      </dgm:t>
    </dgm:pt>
    <dgm:pt modelId="{CEFCC89D-248F-4872-9CBD-59E430560C99}" type="sibTrans" cxnId="{8CB5A063-E7AC-4D20-B762-443045FAC452}">
      <dgm:prSet/>
      <dgm:spPr/>
      <dgm:t>
        <a:bodyPr/>
        <a:lstStyle/>
        <a:p>
          <a:pPr algn="ctr"/>
          <a:endParaRPr lang="en-GB">
            <a:latin typeface="Abadi Extra Light" panose="020B0204020104020204" pitchFamily="34" charset="0"/>
          </a:endParaRPr>
        </a:p>
      </dgm:t>
    </dgm:pt>
    <dgm:pt modelId="{33ACAC1A-4961-46CB-B0CB-6928C4CFA9F3}">
      <dgm:prSet phldrT="[Text]"/>
      <dgm:spPr/>
      <dgm:t>
        <a:bodyPr/>
        <a:lstStyle/>
        <a:p>
          <a:pPr algn="ctr"/>
          <a:r>
            <a:rPr lang="en-GB">
              <a:latin typeface="Abadi Extra Light" panose="020B0204020104020204" pitchFamily="34" charset="0"/>
            </a:rPr>
            <a:t>181,749</a:t>
          </a:r>
        </a:p>
      </dgm:t>
    </dgm:pt>
    <dgm:pt modelId="{C3D8FD83-C117-4C5A-AB10-BB687B795252}" type="parTrans" cxnId="{349C0257-2F5A-46F1-97DD-DBEC6AF56244}">
      <dgm:prSet/>
      <dgm:spPr/>
      <dgm:t>
        <a:bodyPr/>
        <a:lstStyle/>
        <a:p>
          <a:pPr algn="ctr"/>
          <a:endParaRPr lang="en-GB">
            <a:latin typeface="Abadi Extra Light" panose="020B0204020104020204" pitchFamily="34" charset="0"/>
          </a:endParaRPr>
        </a:p>
      </dgm:t>
    </dgm:pt>
    <dgm:pt modelId="{F9D85812-5CE0-4F51-ABEF-3F7AB0FEDCFC}" type="sibTrans" cxnId="{349C0257-2F5A-46F1-97DD-DBEC6AF56244}">
      <dgm:prSet/>
      <dgm:spPr/>
      <dgm:t>
        <a:bodyPr/>
        <a:lstStyle/>
        <a:p>
          <a:pPr algn="ctr"/>
          <a:endParaRPr lang="en-GB">
            <a:latin typeface="Abadi Extra Light" panose="020B0204020104020204" pitchFamily="34" charset="0"/>
          </a:endParaRPr>
        </a:p>
      </dgm:t>
    </dgm:pt>
    <dgm:pt modelId="{5653986D-9885-44AB-9F1F-860986E1CE86}">
      <dgm:prSet/>
      <dgm:spPr/>
      <dgm:t>
        <a:bodyPr/>
        <a:lstStyle/>
        <a:p>
          <a:r>
            <a:rPr lang="en-GB">
              <a:latin typeface="Abadi Extra Light" panose="020B0204020104020204" pitchFamily="34" charset="0"/>
            </a:rPr>
            <a:t>Maternal deaths averted</a:t>
          </a:r>
        </a:p>
      </dgm:t>
    </dgm:pt>
    <dgm:pt modelId="{8D0BE939-48AF-4261-AA59-746D844F9A35}" type="parTrans" cxnId="{0C71760D-E138-48A4-8BA9-4CBC75604D5D}">
      <dgm:prSet/>
      <dgm:spPr/>
      <dgm:t>
        <a:bodyPr/>
        <a:lstStyle/>
        <a:p>
          <a:endParaRPr lang="en-GB"/>
        </a:p>
      </dgm:t>
    </dgm:pt>
    <dgm:pt modelId="{219B6A43-18E5-49B8-B815-F201A90B09FD}" type="sibTrans" cxnId="{0C71760D-E138-48A4-8BA9-4CBC75604D5D}">
      <dgm:prSet/>
      <dgm:spPr/>
      <dgm:t>
        <a:bodyPr/>
        <a:lstStyle/>
        <a:p>
          <a:endParaRPr lang="en-GB"/>
        </a:p>
      </dgm:t>
    </dgm:pt>
    <dgm:pt modelId="{BD9D7726-7802-446F-9EE3-354E8004532C}">
      <dgm:prSet/>
      <dgm:spPr/>
      <dgm:t>
        <a:bodyPr/>
        <a:lstStyle/>
        <a:p>
          <a:r>
            <a:rPr lang="en-GB">
              <a:latin typeface="Abadi Extra Light" panose="020B0204020104020204" pitchFamily="34" charset="0"/>
            </a:rPr>
            <a:t>7,242</a:t>
          </a:r>
        </a:p>
      </dgm:t>
    </dgm:pt>
    <dgm:pt modelId="{DE2D6411-BA92-4FA4-B98A-4EAC25E1D302}" type="parTrans" cxnId="{AE1ED055-DF5A-412F-88AA-3C848F0358B1}">
      <dgm:prSet/>
      <dgm:spPr/>
      <dgm:t>
        <a:bodyPr/>
        <a:lstStyle/>
        <a:p>
          <a:endParaRPr lang="en-GB"/>
        </a:p>
      </dgm:t>
    </dgm:pt>
    <dgm:pt modelId="{99E742F1-7B1E-4381-A53B-7A1A02B674E5}" type="sibTrans" cxnId="{AE1ED055-DF5A-412F-88AA-3C848F0358B1}">
      <dgm:prSet/>
      <dgm:spPr/>
      <dgm:t>
        <a:bodyPr/>
        <a:lstStyle/>
        <a:p>
          <a:endParaRPr lang="en-GB"/>
        </a:p>
      </dgm:t>
    </dgm:pt>
    <dgm:pt modelId="{251A438B-8DB9-46C1-BC68-1A391E804AC0}" type="pres">
      <dgm:prSet presAssocID="{715AB11F-3B7A-41E2-AF2C-E6F9CDF35C61}" presName="list" presStyleCnt="0">
        <dgm:presLayoutVars>
          <dgm:dir/>
          <dgm:animLvl val="lvl"/>
        </dgm:presLayoutVars>
      </dgm:prSet>
      <dgm:spPr/>
    </dgm:pt>
    <dgm:pt modelId="{1BAE6063-B1F0-4889-80C8-EF79FA574AA1}" type="pres">
      <dgm:prSet presAssocID="{B594A632-A192-43BA-A84F-080DCA077B32}" presName="posSpace" presStyleCnt="0"/>
      <dgm:spPr/>
    </dgm:pt>
    <dgm:pt modelId="{519860BE-B0C8-49CF-9ABE-0CED02D65789}" type="pres">
      <dgm:prSet presAssocID="{B594A632-A192-43BA-A84F-080DCA077B32}" presName="vertFlow" presStyleCnt="0"/>
      <dgm:spPr/>
    </dgm:pt>
    <dgm:pt modelId="{4F76D595-FEC2-43E6-862B-9D7F771553DF}" type="pres">
      <dgm:prSet presAssocID="{B594A632-A192-43BA-A84F-080DCA077B32}" presName="topSpace" presStyleCnt="0"/>
      <dgm:spPr/>
    </dgm:pt>
    <dgm:pt modelId="{D4B58E2F-5B30-45C6-8484-0ACADC957079}" type="pres">
      <dgm:prSet presAssocID="{B594A632-A192-43BA-A84F-080DCA077B32}" presName="firstComp" presStyleCnt="0"/>
      <dgm:spPr/>
    </dgm:pt>
    <dgm:pt modelId="{0C51E3DE-E767-414C-B8A5-64C66D7E5282}" type="pres">
      <dgm:prSet presAssocID="{B594A632-A192-43BA-A84F-080DCA077B32}" presName="firstChild" presStyleLbl="bgAccFollowNode1" presStyleIdx="0" presStyleCnt="3"/>
      <dgm:spPr/>
    </dgm:pt>
    <dgm:pt modelId="{B25E0C7D-E246-4106-A07E-19300220FA55}" type="pres">
      <dgm:prSet presAssocID="{B594A632-A192-43BA-A84F-080DCA077B32}" presName="firstChildTx" presStyleLbl="bgAccFollowNode1" presStyleIdx="0" presStyleCnt="3">
        <dgm:presLayoutVars>
          <dgm:bulletEnabled val="1"/>
        </dgm:presLayoutVars>
      </dgm:prSet>
      <dgm:spPr/>
    </dgm:pt>
    <dgm:pt modelId="{C7735AF8-3046-4371-8E78-EA5B31667AFB}" type="pres">
      <dgm:prSet presAssocID="{B594A632-A192-43BA-A84F-080DCA077B32}" presName="negSpace" presStyleCnt="0"/>
      <dgm:spPr/>
    </dgm:pt>
    <dgm:pt modelId="{991D21BA-EDD4-4B18-BCC9-9DA8FCFD145D}" type="pres">
      <dgm:prSet presAssocID="{B594A632-A192-43BA-A84F-080DCA077B32}" presName="circle" presStyleLbl="node1" presStyleIdx="0" presStyleCnt="3"/>
      <dgm:spPr/>
    </dgm:pt>
    <dgm:pt modelId="{7F3C093B-FFC4-40E8-866A-7081A78E04EF}" type="pres">
      <dgm:prSet presAssocID="{3F37227F-376C-4F4C-83A4-B91DFC673971}" presName="transSpace" presStyleCnt="0"/>
      <dgm:spPr/>
    </dgm:pt>
    <dgm:pt modelId="{84D2E824-04B8-49C0-9B36-4235E6EAE67E}" type="pres">
      <dgm:prSet presAssocID="{E5F2B2DC-ACE2-4693-9CD3-125E5E679241}" presName="posSpace" presStyleCnt="0"/>
      <dgm:spPr/>
    </dgm:pt>
    <dgm:pt modelId="{E33028ED-56A4-44CE-9992-14DF26BFCF7B}" type="pres">
      <dgm:prSet presAssocID="{E5F2B2DC-ACE2-4693-9CD3-125E5E679241}" presName="vertFlow" presStyleCnt="0"/>
      <dgm:spPr/>
    </dgm:pt>
    <dgm:pt modelId="{BABCF217-F276-4254-9941-D686D1BC303A}" type="pres">
      <dgm:prSet presAssocID="{E5F2B2DC-ACE2-4693-9CD3-125E5E679241}" presName="topSpace" presStyleCnt="0"/>
      <dgm:spPr/>
    </dgm:pt>
    <dgm:pt modelId="{8E136D98-E790-496F-B063-84049808D7DB}" type="pres">
      <dgm:prSet presAssocID="{E5F2B2DC-ACE2-4693-9CD3-125E5E679241}" presName="firstComp" presStyleCnt="0"/>
      <dgm:spPr/>
    </dgm:pt>
    <dgm:pt modelId="{9E9B337D-E985-4966-8A24-21B324912FE4}" type="pres">
      <dgm:prSet presAssocID="{E5F2B2DC-ACE2-4693-9CD3-125E5E679241}" presName="firstChild" presStyleLbl="bgAccFollowNode1" presStyleIdx="1" presStyleCnt="3"/>
      <dgm:spPr/>
    </dgm:pt>
    <dgm:pt modelId="{5008FC02-6ABE-470A-8919-2C1BC1B7E643}" type="pres">
      <dgm:prSet presAssocID="{E5F2B2DC-ACE2-4693-9CD3-125E5E679241}" presName="firstChildTx" presStyleLbl="bgAccFollowNode1" presStyleIdx="1" presStyleCnt="3">
        <dgm:presLayoutVars>
          <dgm:bulletEnabled val="1"/>
        </dgm:presLayoutVars>
      </dgm:prSet>
      <dgm:spPr/>
    </dgm:pt>
    <dgm:pt modelId="{28568F81-EA7B-4421-B6EF-7B2E0654963E}" type="pres">
      <dgm:prSet presAssocID="{E5F2B2DC-ACE2-4693-9CD3-125E5E679241}" presName="negSpace" presStyleCnt="0"/>
      <dgm:spPr/>
    </dgm:pt>
    <dgm:pt modelId="{66102D60-C2B5-4C0D-96A8-40C5D8D192F2}" type="pres">
      <dgm:prSet presAssocID="{E5F2B2DC-ACE2-4693-9CD3-125E5E679241}" presName="circle" presStyleLbl="node1" presStyleIdx="1" presStyleCnt="3"/>
      <dgm:spPr/>
    </dgm:pt>
    <dgm:pt modelId="{6158786A-AFAE-4538-A63B-86C96D4BE5AB}" type="pres">
      <dgm:prSet presAssocID="{CEFCC89D-248F-4872-9CBD-59E430560C99}" presName="transSpace" presStyleCnt="0"/>
      <dgm:spPr/>
    </dgm:pt>
    <dgm:pt modelId="{F423EFAA-DD18-43A2-8DE3-4124E0374A57}" type="pres">
      <dgm:prSet presAssocID="{5653986D-9885-44AB-9F1F-860986E1CE86}" presName="posSpace" presStyleCnt="0"/>
      <dgm:spPr/>
    </dgm:pt>
    <dgm:pt modelId="{7EA7CA37-278F-4231-9BC1-1759CBB308ED}" type="pres">
      <dgm:prSet presAssocID="{5653986D-9885-44AB-9F1F-860986E1CE86}" presName="vertFlow" presStyleCnt="0"/>
      <dgm:spPr/>
    </dgm:pt>
    <dgm:pt modelId="{6CC7B376-4A99-4CBA-B3CB-9F06B04EEB2F}" type="pres">
      <dgm:prSet presAssocID="{5653986D-9885-44AB-9F1F-860986E1CE86}" presName="topSpace" presStyleCnt="0"/>
      <dgm:spPr/>
    </dgm:pt>
    <dgm:pt modelId="{E7E5ECC0-C117-4FB7-8358-4522E6742039}" type="pres">
      <dgm:prSet presAssocID="{5653986D-9885-44AB-9F1F-860986E1CE86}" presName="firstComp" presStyleCnt="0"/>
      <dgm:spPr/>
    </dgm:pt>
    <dgm:pt modelId="{84CC5A3D-EB56-4367-83F1-0C2A16D91186}" type="pres">
      <dgm:prSet presAssocID="{5653986D-9885-44AB-9F1F-860986E1CE86}" presName="firstChild" presStyleLbl="bgAccFollowNode1" presStyleIdx="2" presStyleCnt="3"/>
      <dgm:spPr/>
    </dgm:pt>
    <dgm:pt modelId="{72C6B41A-66DC-45C9-98AB-EC5B0E41467D}" type="pres">
      <dgm:prSet presAssocID="{5653986D-9885-44AB-9F1F-860986E1CE86}" presName="firstChildTx" presStyleLbl="bgAccFollowNode1" presStyleIdx="2" presStyleCnt="3">
        <dgm:presLayoutVars>
          <dgm:bulletEnabled val="1"/>
        </dgm:presLayoutVars>
      </dgm:prSet>
      <dgm:spPr/>
    </dgm:pt>
    <dgm:pt modelId="{354254EE-5543-470C-8340-729285DBDBC5}" type="pres">
      <dgm:prSet presAssocID="{5653986D-9885-44AB-9F1F-860986E1CE86}" presName="negSpace" presStyleCnt="0"/>
      <dgm:spPr/>
    </dgm:pt>
    <dgm:pt modelId="{5B385A5D-33A6-43F7-A28A-427CC3EA59F3}" type="pres">
      <dgm:prSet presAssocID="{5653986D-9885-44AB-9F1F-860986E1CE86}" presName="circle" presStyleLbl="node1" presStyleIdx="2" presStyleCnt="3"/>
      <dgm:spPr/>
    </dgm:pt>
  </dgm:ptLst>
  <dgm:cxnLst>
    <dgm:cxn modelId="{0C71760D-E138-48A4-8BA9-4CBC75604D5D}" srcId="{715AB11F-3B7A-41E2-AF2C-E6F9CDF35C61}" destId="{5653986D-9885-44AB-9F1F-860986E1CE86}" srcOrd="2" destOrd="0" parTransId="{8D0BE939-48AF-4261-AA59-746D844F9A35}" sibTransId="{219B6A43-18E5-49B8-B815-F201A90B09FD}"/>
    <dgm:cxn modelId="{984DDC12-5087-409C-BDF8-0B7F399A4052}" type="presOf" srcId="{715AB11F-3B7A-41E2-AF2C-E6F9CDF35C61}" destId="{251A438B-8DB9-46C1-BC68-1A391E804AC0}" srcOrd="0" destOrd="0" presId="urn:microsoft.com/office/officeart/2005/8/layout/hList9"/>
    <dgm:cxn modelId="{F2CFFF18-8466-4116-9AD3-29A44663D1A4}" type="presOf" srcId="{33ACAC1A-4961-46CB-B0CB-6928C4CFA9F3}" destId="{9E9B337D-E985-4966-8A24-21B324912FE4}" srcOrd="0" destOrd="0" presId="urn:microsoft.com/office/officeart/2005/8/layout/hList9"/>
    <dgm:cxn modelId="{1741B32C-BC64-4EFB-9D18-4A2CF4627FD7}" srcId="{715AB11F-3B7A-41E2-AF2C-E6F9CDF35C61}" destId="{B594A632-A192-43BA-A84F-080DCA077B32}" srcOrd="0" destOrd="0" parTransId="{47E78B49-F322-44E5-8D5E-4797D8D5F7F2}" sibTransId="{3F37227F-376C-4F4C-83A4-B91DFC673971}"/>
    <dgm:cxn modelId="{1F946E3E-342C-46DF-9BA0-D44194C3FF28}" type="presOf" srcId="{B594A632-A192-43BA-A84F-080DCA077B32}" destId="{991D21BA-EDD4-4B18-BCC9-9DA8FCFD145D}" srcOrd="0" destOrd="0" presId="urn:microsoft.com/office/officeart/2005/8/layout/hList9"/>
    <dgm:cxn modelId="{ABDCAC5C-0D59-4BCC-9848-222849AB5D98}" type="presOf" srcId="{5653986D-9885-44AB-9F1F-860986E1CE86}" destId="{5B385A5D-33A6-43F7-A28A-427CC3EA59F3}" srcOrd="0" destOrd="0" presId="urn:microsoft.com/office/officeart/2005/8/layout/hList9"/>
    <dgm:cxn modelId="{EB00FD5E-07A4-4EE7-B8EB-CD0DF827EA94}" type="presOf" srcId="{BD9D7726-7802-446F-9EE3-354E8004532C}" destId="{84CC5A3D-EB56-4367-83F1-0C2A16D91186}" srcOrd="0" destOrd="0" presId="urn:microsoft.com/office/officeart/2005/8/layout/hList9"/>
    <dgm:cxn modelId="{8CB5A063-E7AC-4D20-B762-443045FAC452}" srcId="{715AB11F-3B7A-41E2-AF2C-E6F9CDF35C61}" destId="{E5F2B2DC-ACE2-4693-9CD3-125E5E679241}" srcOrd="1" destOrd="0" parTransId="{FD016DC8-9F57-47FF-BD17-89C46941D01C}" sibTransId="{CEFCC89D-248F-4872-9CBD-59E430560C99}"/>
    <dgm:cxn modelId="{AE1ED055-DF5A-412F-88AA-3C848F0358B1}" srcId="{5653986D-9885-44AB-9F1F-860986E1CE86}" destId="{BD9D7726-7802-446F-9EE3-354E8004532C}" srcOrd="0" destOrd="0" parTransId="{DE2D6411-BA92-4FA4-B98A-4EAC25E1D302}" sibTransId="{99E742F1-7B1E-4381-A53B-7A1A02B674E5}"/>
    <dgm:cxn modelId="{349C0257-2F5A-46F1-97DD-DBEC6AF56244}" srcId="{E5F2B2DC-ACE2-4693-9CD3-125E5E679241}" destId="{33ACAC1A-4961-46CB-B0CB-6928C4CFA9F3}" srcOrd="0" destOrd="0" parTransId="{C3D8FD83-C117-4C5A-AB10-BB687B795252}" sibTransId="{F9D85812-5CE0-4F51-ABEF-3F7AB0FEDCFC}"/>
    <dgm:cxn modelId="{4B28B988-A7AC-4995-A8A7-4187182F9073}" type="presOf" srcId="{33ACAC1A-4961-46CB-B0CB-6928C4CFA9F3}" destId="{5008FC02-6ABE-470A-8919-2C1BC1B7E643}" srcOrd="1" destOrd="0" presId="urn:microsoft.com/office/officeart/2005/8/layout/hList9"/>
    <dgm:cxn modelId="{1F17A88E-708F-4856-B4BF-233909F2090C}" type="presOf" srcId="{D2D45D6B-F610-4469-821F-B4091EB0CBED}" destId="{B25E0C7D-E246-4106-A07E-19300220FA55}" srcOrd="1" destOrd="0" presId="urn:microsoft.com/office/officeart/2005/8/layout/hList9"/>
    <dgm:cxn modelId="{2DF25499-FE3B-41ED-A0E0-3C75D9ACA836}" type="presOf" srcId="{BD9D7726-7802-446F-9EE3-354E8004532C}" destId="{72C6B41A-66DC-45C9-98AB-EC5B0E41467D}" srcOrd="1" destOrd="0" presId="urn:microsoft.com/office/officeart/2005/8/layout/hList9"/>
    <dgm:cxn modelId="{8D1664C4-2226-4602-AE65-9081442C4337}" type="presOf" srcId="{D2D45D6B-F610-4469-821F-B4091EB0CBED}" destId="{0C51E3DE-E767-414C-B8A5-64C66D7E5282}" srcOrd="0" destOrd="0" presId="urn:microsoft.com/office/officeart/2005/8/layout/hList9"/>
    <dgm:cxn modelId="{B8C31CD3-0796-4FE3-B3B3-38E88D7440D0}" srcId="{B594A632-A192-43BA-A84F-080DCA077B32}" destId="{D2D45D6B-F610-4469-821F-B4091EB0CBED}" srcOrd="0" destOrd="0" parTransId="{FBE95478-80CB-4EB5-8D06-0A70209548B7}" sibTransId="{41214D79-FA01-4FBB-AB34-D5CC91D54F75}"/>
    <dgm:cxn modelId="{6CCA09F2-225C-4C53-9F11-145FA12F7EB2}" type="presOf" srcId="{E5F2B2DC-ACE2-4693-9CD3-125E5E679241}" destId="{66102D60-C2B5-4C0D-96A8-40C5D8D192F2}" srcOrd="0" destOrd="0" presId="urn:microsoft.com/office/officeart/2005/8/layout/hList9"/>
    <dgm:cxn modelId="{0C8CE32F-26F1-47B3-BDE6-9AC26C411574}" type="presParOf" srcId="{251A438B-8DB9-46C1-BC68-1A391E804AC0}" destId="{1BAE6063-B1F0-4889-80C8-EF79FA574AA1}" srcOrd="0" destOrd="0" presId="urn:microsoft.com/office/officeart/2005/8/layout/hList9"/>
    <dgm:cxn modelId="{CE7F8255-464B-4A67-9891-882EA044FC3D}" type="presParOf" srcId="{251A438B-8DB9-46C1-BC68-1A391E804AC0}" destId="{519860BE-B0C8-49CF-9ABE-0CED02D65789}" srcOrd="1" destOrd="0" presId="urn:microsoft.com/office/officeart/2005/8/layout/hList9"/>
    <dgm:cxn modelId="{44CD6434-3A08-4925-B885-9F2C88B4BBED}" type="presParOf" srcId="{519860BE-B0C8-49CF-9ABE-0CED02D65789}" destId="{4F76D595-FEC2-43E6-862B-9D7F771553DF}" srcOrd="0" destOrd="0" presId="urn:microsoft.com/office/officeart/2005/8/layout/hList9"/>
    <dgm:cxn modelId="{070FF05C-DAE9-4F12-BD1A-487C2DEC7D52}" type="presParOf" srcId="{519860BE-B0C8-49CF-9ABE-0CED02D65789}" destId="{D4B58E2F-5B30-45C6-8484-0ACADC957079}" srcOrd="1" destOrd="0" presId="urn:microsoft.com/office/officeart/2005/8/layout/hList9"/>
    <dgm:cxn modelId="{1FF83484-93BC-4047-9A8A-9B3FEA45B357}" type="presParOf" srcId="{D4B58E2F-5B30-45C6-8484-0ACADC957079}" destId="{0C51E3DE-E767-414C-B8A5-64C66D7E5282}" srcOrd="0" destOrd="0" presId="urn:microsoft.com/office/officeart/2005/8/layout/hList9"/>
    <dgm:cxn modelId="{ED56031C-0BE1-44D8-BD33-FBCBCF936F7E}" type="presParOf" srcId="{D4B58E2F-5B30-45C6-8484-0ACADC957079}" destId="{B25E0C7D-E246-4106-A07E-19300220FA55}" srcOrd="1" destOrd="0" presId="urn:microsoft.com/office/officeart/2005/8/layout/hList9"/>
    <dgm:cxn modelId="{67A36615-6286-4C50-A1FD-29C2F3A000CA}" type="presParOf" srcId="{251A438B-8DB9-46C1-BC68-1A391E804AC0}" destId="{C7735AF8-3046-4371-8E78-EA5B31667AFB}" srcOrd="2" destOrd="0" presId="urn:microsoft.com/office/officeart/2005/8/layout/hList9"/>
    <dgm:cxn modelId="{0C895518-1BC5-4818-BC48-9D5D0DD90A75}" type="presParOf" srcId="{251A438B-8DB9-46C1-BC68-1A391E804AC0}" destId="{991D21BA-EDD4-4B18-BCC9-9DA8FCFD145D}" srcOrd="3" destOrd="0" presId="urn:microsoft.com/office/officeart/2005/8/layout/hList9"/>
    <dgm:cxn modelId="{2BAAE78E-D9DF-42DB-B745-7D962EAB1BE5}" type="presParOf" srcId="{251A438B-8DB9-46C1-BC68-1A391E804AC0}" destId="{7F3C093B-FFC4-40E8-866A-7081A78E04EF}" srcOrd="4" destOrd="0" presId="urn:microsoft.com/office/officeart/2005/8/layout/hList9"/>
    <dgm:cxn modelId="{57E7696B-8E50-4205-AAD9-84BBA3434C76}" type="presParOf" srcId="{251A438B-8DB9-46C1-BC68-1A391E804AC0}" destId="{84D2E824-04B8-49C0-9B36-4235E6EAE67E}" srcOrd="5" destOrd="0" presId="urn:microsoft.com/office/officeart/2005/8/layout/hList9"/>
    <dgm:cxn modelId="{F85C1463-4EA4-4486-B23C-9C77F9C16FDA}" type="presParOf" srcId="{251A438B-8DB9-46C1-BC68-1A391E804AC0}" destId="{E33028ED-56A4-44CE-9992-14DF26BFCF7B}" srcOrd="6" destOrd="0" presId="urn:microsoft.com/office/officeart/2005/8/layout/hList9"/>
    <dgm:cxn modelId="{0251A4D8-2D13-4DF3-8FCB-31019772377F}" type="presParOf" srcId="{E33028ED-56A4-44CE-9992-14DF26BFCF7B}" destId="{BABCF217-F276-4254-9941-D686D1BC303A}" srcOrd="0" destOrd="0" presId="urn:microsoft.com/office/officeart/2005/8/layout/hList9"/>
    <dgm:cxn modelId="{3A261214-73A5-4369-8006-5990DDC7B746}" type="presParOf" srcId="{E33028ED-56A4-44CE-9992-14DF26BFCF7B}" destId="{8E136D98-E790-496F-B063-84049808D7DB}" srcOrd="1" destOrd="0" presId="urn:microsoft.com/office/officeart/2005/8/layout/hList9"/>
    <dgm:cxn modelId="{D3CAB14D-291B-454A-8B4A-2CD76C04D9B4}" type="presParOf" srcId="{8E136D98-E790-496F-B063-84049808D7DB}" destId="{9E9B337D-E985-4966-8A24-21B324912FE4}" srcOrd="0" destOrd="0" presId="urn:microsoft.com/office/officeart/2005/8/layout/hList9"/>
    <dgm:cxn modelId="{D927164D-3FBC-4FE7-AFA7-53B761C665B1}" type="presParOf" srcId="{8E136D98-E790-496F-B063-84049808D7DB}" destId="{5008FC02-6ABE-470A-8919-2C1BC1B7E643}" srcOrd="1" destOrd="0" presId="urn:microsoft.com/office/officeart/2005/8/layout/hList9"/>
    <dgm:cxn modelId="{5E110CA5-9E3B-475C-8075-ED6CEB905BC2}" type="presParOf" srcId="{251A438B-8DB9-46C1-BC68-1A391E804AC0}" destId="{28568F81-EA7B-4421-B6EF-7B2E0654963E}" srcOrd="7" destOrd="0" presId="urn:microsoft.com/office/officeart/2005/8/layout/hList9"/>
    <dgm:cxn modelId="{27AC9083-F9CF-4FF1-9A8A-BB961B16632C}" type="presParOf" srcId="{251A438B-8DB9-46C1-BC68-1A391E804AC0}" destId="{66102D60-C2B5-4C0D-96A8-40C5D8D192F2}" srcOrd="8" destOrd="0" presId="urn:microsoft.com/office/officeart/2005/8/layout/hList9"/>
    <dgm:cxn modelId="{FDC758A6-3811-483D-B104-C8E3BE6F45B7}" type="presParOf" srcId="{251A438B-8DB9-46C1-BC68-1A391E804AC0}" destId="{6158786A-AFAE-4538-A63B-86C96D4BE5AB}" srcOrd="9" destOrd="0" presId="urn:microsoft.com/office/officeart/2005/8/layout/hList9"/>
    <dgm:cxn modelId="{15E4119C-6F39-4678-B949-BB48C65CE522}" type="presParOf" srcId="{251A438B-8DB9-46C1-BC68-1A391E804AC0}" destId="{F423EFAA-DD18-43A2-8DE3-4124E0374A57}" srcOrd="10" destOrd="0" presId="urn:microsoft.com/office/officeart/2005/8/layout/hList9"/>
    <dgm:cxn modelId="{B6C9DCEF-5388-4697-8314-B264C0631C5D}" type="presParOf" srcId="{251A438B-8DB9-46C1-BC68-1A391E804AC0}" destId="{7EA7CA37-278F-4231-9BC1-1759CBB308ED}" srcOrd="11" destOrd="0" presId="urn:microsoft.com/office/officeart/2005/8/layout/hList9"/>
    <dgm:cxn modelId="{1A936B21-9A64-442D-BD08-471EC90F651D}" type="presParOf" srcId="{7EA7CA37-278F-4231-9BC1-1759CBB308ED}" destId="{6CC7B376-4A99-4CBA-B3CB-9F06B04EEB2F}" srcOrd="0" destOrd="0" presId="urn:microsoft.com/office/officeart/2005/8/layout/hList9"/>
    <dgm:cxn modelId="{9A371B3E-E524-4787-A7A7-30363E020B30}" type="presParOf" srcId="{7EA7CA37-278F-4231-9BC1-1759CBB308ED}" destId="{E7E5ECC0-C117-4FB7-8358-4522E6742039}" srcOrd="1" destOrd="0" presId="urn:microsoft.com/office/officeart/2005/8/layout/hList9"/>
    <dgm:cxn modelId="{BE963A99-4003-470D-B540-28E8162D499A}" type="presParOf" srcId="{E7E5ECC0-C117-4FB7-8358-4522E6742039}" destId="{84CC5A3D-EB56-4367-83F1-0C2A16D91186}" srcOrd="0" destOrd="0" presId="urn:microsoft.com/office/officeart/2005/8/layout/hList9"/>
    <dgm:cxn modelId="{F6560CA5-8D7D-4C59-B74D-74969241C233}" type="presParOf" srcId="{E7E5ECC0-C117-4FB7-8358-4522E6742039}" destId="{72C6B41A-66DC-45C9-98AB-EC5B0E41467D}" srcOrd="1" destOrd="0" presId="urn:microsoft.com/office/officeart/2005/8/layout/hList9"/>
    <dgm:cxn modelId="{CEB34B37-AB3D-492C-9081-82566D62F80D}" type="presParOf" srcId="{251A438B-8DB9-46C1-BC68-1A391E804AC0}" destId="{354254EE-5543-470C-8340-729285DBDBC5}" srcOrd="12" destOrd="0" presId="urn:microsoft.com/office/officeart/2005/8/layout/hList9"/>
    <dgm:cxn modelId="{F1A28E1E-0D94-4525-8E68-A34A54160C3C}" type="presParOf" srcId="{251A438B-8DB9-46C1-BC68-1A391E804AC0}" destId="{5B385A5D-33A6-43F7-A28A-427CC3EA59F3}" srcOrd="13" destOrd="0" presId="urn:microsoft.com/office/officeart/2005/8/layout/hList9"/>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C5459D-D55D-4ED3-8FEB-3AA01F9E454F}">
      <dsp:nvSpPr>
        <dsp:cNvPr id="0" name=""/>
        <dsp:cNvSpPr/>
      </dsp:nvSpPr>
      <dsp:spPr>
        <a:xfrm>
          <a:off x="2643142" y="1341228"/>
          <a:ext cx="1100628" cy="523799"/>
        </a:xfrm>
        <a:custGeom>
          <a:avLst/>
          <a:gdLst/>
          <a:ahLst/>
          <a:cxnLst/>
          <a:rect l="0" t="0" r="0" b="0"/>
          <a:pathLst>
            <a:path>
              <a:moveTo>
                <a:pt x="0" y="0"/>
              </a:moveTo>
              <a:lnTo>
                <a:pt x="0" y="356953"/>
              </a:lnTo>
              <a:lnTo>
                <a:pt x="1100628" y="356953"/>
              </a:lnTo>
              <a:lnTo>
                <a:pt x="1100628" y="523799"/>
              </a:lnTo>
            </a:path>
          </a:pathLst>
        </a:custGeom>
        <a:noFill/>
        <a:ln w="12700" cap="flat" cmpd="sng" algn="ctr">
          <a:solidFill>
            <a:schemeClr val="accent5">
              <a:tint val="99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A8B42CEB-E3B8-48B5-912E-34FA8383AC20}">
      <dsp:nvSpPr>
        <dsp:cNvPr id="0" name=""/>
        <dsp:cNvSpPr/>
      </dsp:nvSpPr>
      <dsp:spPr>
        <a:xfrm>
          <a:off x="1542514" y="1341228"/>
          <a:ext cx="1100628" cy="523799"/>
        </a:xfrm>
        <a:custGeom>
          <a:avLst/>
          <a:gdLst/>
          <a:ahLst/>
          <a:cxnLst/>
          <a:rect l="0" t="0" r="0" b="0"/>
          <a:pathLst>
            <a:path>
              <a:moveTo>
                <a:pt x="1100628" y="0"/>
              </a:moveTo>
              <a:lnTo>
                <a:pt x="1100628" y="356953"/>
              </a:lnTo>
              <a:lnTo>
                <a:pt x="0" y="356953"/>
              </a:lnTo>
              <a:lnTo>
                <a:pt x="0" y="523799"/>
              </a:lnTo>
            </a:path>
          </a:pathLst>
        </a:custGeom>
        <a:noFill/>
        <a:ln w="12700" cap="flat" cmpd="sng" algn="ctr">
          <a:solidFill>
            <a:schemeClr val="accent5">
              <a:tint val="99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F65207EA-F56F-4BD2-B9A4-555DB2F25A66}">
      <dsp:nvSpPr>
        <dsp:cNvPr id="0" name=""/>
        <dsp:cNvSpPr/>
      </dsp:nvSpPr>
      <dsp:spPr>
        <a:xfrm>
          <a:off x="1645291" y="1610"/>
          <a:ext cx="1995701" cy="1339618"/>
        </a:xfrm>
        <a:prstGeom prst="roundRect">
          <a:avLst>
            <a:gd name="adj" fmla="val 10000"/>
          </a:avLst>
        </a:prstGeom>
        <a:solidFill>
          <a:schemeClr val="accent5">
            <a:shade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180007C-1C92-4646-B75B-4F5BB0B776B3}">
      <dsp:nvSpPr>
        <dsp:cNvPr id="0" name=""/>
        <dsp:cNvSpPr/>
      </dsp:nvSpPr>
      <dsp:spPr>
        <a:xfrm>
          <a:off x="1845406" y="191719"/>
          <a:ext cx="1995701" cy="1339618"/>
        </a:xfrm>
        <a:prstGeom prst="roundRect">
          <a:avLst>
            <a:gd name="adj" fmla="val 10000"/>
          </a:avLst>
        </a:prstGeom>
        <a:solidFill>
          <a:schemeClr val="lt1">
            <a:alpha val="90000"/>
            <a:hueOff val="0"/>
            <a:satOff val="0"/>
            <a:lumOff val="0"/>
            <a:alphaOff val="0"/>
          </a:schemeClr>
        </a:solidFill>
        <a:ln w="6350" cap="flat" cmpd="sng" algn="ctr">
          <a:solidFill>
            <a:schemeClr val="accent5">
              <a:shade val="80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u="sng" kern="1200">
              <a:latin typeface="Abadi Extra Light" panose="020B0204020104020204" pitchFamily="34" charset="0"/>
            </a:rPr>
            <a:t>Share of total harm through tax abuses to other countries</a:t>
          </a:r>
        </a:p>
        <a:p>
          <a:pPr marL="0" lvl="0" indent="0" algn="ctr" defTabSz="711200">
            <a:lnSpc>
              <a:spcPct val="90000"/>
            </a:lnSpc>
            <a:spcBef>
              <a:spcPct val="0"/>
            </a:spcBef>
            <a:spcAft>
              <a:spcPct val="35000"/>
            </a:spcAft>
            <a:buNone/>
          </a:pPr>
          <a:r>
            <a:rPr lang="en-GB" sz="2400" b="1" kern="1200">
              <a:latin typeface="Abadi Extra Light" panose="020B0204020104020204" pitchFamily="34" charset="0"/>
            </a:rPr>
            <a:t>3%</a:t>
          </a:r>
          <a:br>
            <a:rPr lang="en-GB" sz="2400" b="1" kern="1200">
              <a:latin typeface="Abadi Extra Light" panose="020B0204020104020204" pitchFamily="34" charset="0"/>
            </a:rPr>
          </a:br>
          <a:r>
            <a:rPr lang="en-GB" sz="1100" b="1" kern="1200">
              <a:latin typeface="Abadi Extra Light" panose="020B0204020104020204" pitchFamily="34" charset="0"/>
            </a:rPr>
            <a:t>~$13 US Billion </a:t>
          </a:r>
          <a:r>
            <a:rPr lang="en-GB" sz="1100" kern="1200">
              <a:latin typeface="Abadi Extra Light" panose="020B0204020104020204" pitchFamily="34" charset="0"/>
            </a:rPr>
            <a:t>of a global total of $427 US Billion </a:t>
          </a:r>
        </a:p>
      </dsp:txBody>
      <dsp:txXfrm>
        <a:off x="1884642" y="230955"/>
        <a:ext cx="1917229" cy="1261146"/>
      </dsp:txXfrm>
    </dsp:sp>
    <dsp:sp modelId="{19E4BC13-F5F5-4EC2-93F9-C7DE44B7543D}">
      <dsp:nvSpPr>
        <dsp:cNvPr id="0" name=""/>
        <dsp:cNvSpPr/>
      </dsp:nvSpPr>
      <dsp:spPr>
        <a:xfrm>
          <a:off x="641999" y="1865027"/>
          <a:ext cx="1801028" cy="1143653"/>
        </a:xfrm>
        <a:prstGeom prst="roundRect">
          <a:avLst>
            <a:gd name="adj" fmla="val 10000"/>
          </a:avLst>
        </a:prstGeom>
        <a:solidFill>
          <a:schemeClr val="accent5">
            <a:tint val="99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8BEF690-9CA3-42F1-AD65-195A75EA9BD4}">
      <dsp:nvSpPr>
        <dsp:cNvPr id="0" name=""/>
        <dsp:cNvSpPr/>
      </dsp:nvSpPr>
      <dsp:spPr>
        <a:xfrm>
          <a:off x="842114" y="2055136"/>
          <a:ext cx="1801028" cy="1143653"/>
        </a:xfrm>
        <a:prstGeom prst="roundRect">
          <a:avLst>
            <a:gd name="adj" fmla="val 10000"/>
          </a:avLst>
        </a:prstGeom>
        <a:solidFill>
          <a:schemeClr val="lt1">
            <a:alpha val="90000"/>
            <a:hueOff val="0"/>
            <a:satOff val="0"/>
            <a:lumOff val="0"/>
            <a:alphaOff val="0"/>
          </a:schemeClr>
        </a:solidFill>
        <a:ln w="6350" cap="flat" cmpd="sng" algn="ctr">
          <a:solidFill>
            <a:schemeClr val="accent5">
              <a:tint val="99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u="sng" kern="1200">
              <a:latin typeface="Abadi Extra Light" panose="020B0204020104020204" pitchFamily="34" charset="0"/>
            </a:rPr>
            <a:t>Share of Harm through Corporate Tax Abuse</a:t>
          </a:r>
        </a:p>
        <a:p>
          <a:pPr marL="0" lvl="0" indent="0" algn="ctr" defTabSz="577850">
            <a:lnSpc>
              <a:spcPct val="90000"/>
            </a:lnSpc>
            <a:spcBef>
              <a:spcPct val="0"/>
            </a:spcBef>
            <a:spcAft>
              <a:spcPct val="35000"/>
            </a:spcAft>
            <a:buNone/>
          </a:pPr>
          <a:r>
            <a:rPr lang="en-GB" sz="2400" b="1" kern="1200">
              <a:latin typeface="Abadi Extra Light" panose="020B0204020104020204" pitchFamily="34" charset="0"/>
            </a:rPr>
            <a:t>4%</a:t>
          </a:r>
        </a:p>
        <a:p>
          <a:pPr marL="0" lvl="0" indent="0" algn="ctr" defTabSz="577850">
            <a:lnSpc>
              <a:spcPct val="90000"/>
            </a:lnSpc>
            <a:spcBef>
              <a:spcPct val="0"/>
            </a:spcBef>
            <a:spcAft>
              <a:spcPct val="35000"/>
            </a:spcAft>
            <a:buNone/>
          </a:pPr>
          <a:r>
            <a:rPr lang="en-GB" sz="1100" b="1" kern="1200">
              <a:latin typeface="Abadi Extra Light" panose="020B0204020104020204" pitchFamily="34" charset="0"/>
            </a:rPr>
            <a:t>~$11 US Billion </a:t>
          </a:r>
          <a:r>
            <a:rPr lang="en-GB" sz="1100" kern="1200">
              <a:latin typeface="Abadi Extra Light" panose="020B0204020104020204" pitchFamily="34" charset="0"/>
            </a:rPr>
            <a:t>of a global total of $245 US Billion </a:t>
          </a:r>
          <a:endParaRPr lang="en-GB" sz="1100" kern="1200"/>
        </a:p>
      </dsp:txBody>
      <dsp:txXfrm>
        <a:off x="875610" y="2088632"/>
        <a:ext cx="1734036" cy="1076661"/>
      </dsp:txXfrm>
    </dsp:sp>
    <dsp:sp modelId="{D511AA4B-DE8F-4E8A-B37F-D82D2D33E47F}">
      <dsp:nvSpPr>
        <dsp:cNvPr id="0" name=""/>
        <dsp:cNvSpPr/>
      </dsp:nvSpPr>
      <dsp:spPr>
        <a:xfrm>
          <a:off x="2843257" y="1865027"/>
          <a:ext cx="1801028" cy="1143653"/>
        </a:xfrm>
        <a:prstGeom prst="roundRect">
          <a:avLst>
            <a:gd name="adj" fmla="val 10000"/>
          </a:avLst>
        </a:prstGeom>
        <a:solidFill>
          <a:schemeClr val="accent5">
            <a:tint val="99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D36D9D68-D171-46B7-8521-4BD3289FFAFF}">
      <dsp:nvSpPr>
        <dsp:cNvPr id="0" name=""/>
        <dsp:cNvSpPr/>
      </dsp:nvSpPr>
      <dsp:spPr>
        <a:xfrm>
          <a:off x="3043371" y="2055136"/>
          <a:ext cx="1801028" cy="1143653"/>
        </a:xfrm>
        <a:prstGeom prst="roundRect">
          <a:avLst>
            <a:gd name="adj" fmla="val 10000"/>
          </a:avLst>
        </a:prstGeom>
        <a:solidFill>
          <a:schemeClr val="lt1">
            <a:alpha val="90000"/>
            <a:hueOff val="0"/>
            <a:satOff val="0"/>
            <a:lumOff val="0"/>
            <a:alphaOff val="0"/>
          </a:schemeClr>
        </a:solidFill>
        <a:ln w="6350" cap="flat" cmpd="sng" algn="ctr">
          <a:solidFill>
            <a:schemeClr val="accent5">
              <a:tint val="99000"/>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u="sng" kern="1200">
              <a:latin typeface="Abadi Extra Light" panose="020B0204020104020204" pitchFamily="34" charset="0"/>
            </a:rPr>
            <a:t>Share of Harm through Tax Evasion</a:t>
          </a:r>
        </a:p>
        <a:p>
          <a:pPr marL="0" lvl="0" indent="0" algn="ctr" defTabSz="577850">
            <a:lnSpc>
              <a:spcPct val="90000"/>
            </a:lnSpc>
            <a:spcBef>
              <a:spcPct val="0"/>
            </a:spcBef>
            <a:spcAft>
              <a:spcPct val="35000"/>
            </a:spcAft>
            <a:buNone/>
          </a:pPr>
          <a:r>
            <a:rPr lang="en-GB" sz="2400" b="1" kern="1200">
              <a:latin typeface="Abadi Extra Light" panose="020B0204020104020204" pitchFamily="34" charset="0"/>
            </a:rPr>
            <a:t>1%</a:t>
          </a:r>
        </a:p>
        <a:p>
          <a:pPr marL="0" lvl="0" indent="0" algn="ctr" defTabSz="577850">
            <a:lnSpc>
              <a:spcPct val="90000"/>
            </a:lnSpc>
            <a:spcBef>
              <a:spcPct val="0"/>
            </a:spcBef>
            <a:spcAft>
              <a:spcPct val="35000"/>
            </a:spcAft>
            <a:buNone/>
          </a:pPr>
          <a:r>
            <a:rPr lang="en-GB" sz="1100" b="1" kern="1200">
              <a:latin typeface="Abadi Extra Light" panose="020B0204020104020204" pitchFamily="34" charset="0"/>
            </a:rPr>
            <a:t>~$2 US Billion </a:t>
          </a:r>
          <a:r>
            <a:rPr lang="en-GB" sz="1100" kern="1200">
              <a:latin typeface="Abadi Extra Light" panose="020B0204020104020204" pitchFamily="34" charset="0"/>
            </a:rPr>
            <a:t>of a global total of $182 US Billion </a:t>
          </a:r>
          <a:endParaRPr lang="en-GB" sz="1100" kern="1200"/>
        </a:p>
      </dsp:txBody>
      <dsp:txXfrm>
        <a:off x="3076867" y="2088632"/>
        <a:ext cx="1734036" cy="10766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51E3DE-E767-414C-B8A5-64C66D7E5282}">
      <dsp:nvSpPr>
        <dsp:cNvPr id="0" name=""/>
        <dsp:cNvSpPr/>
      </dsp:nvSpPr>
      <dsp:spPr>
        <a:xfrm>
          <a:off x="511821" y="654217"/>
          <a:ext cx="958918" cy="639598"/>
        </a:xfrm>
        <a:prstGeom prst="rect">
          <a:avLst/>
        </a:prstGeom>
        <a:solidFill>
          <a:schemeClr val="accent5">
            <a:alpha val="90000"/>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a:latin typeface="Abadi Extra Light" panose="020B0204020104020204" pitchFamily="34" charset="0"/>
            </a:rPr>
            <a:t>32,725	</a:t>
          </a:r>
        </a:p>
      </dsp:txBody>
      <dsp:txXfrm>
        <a:off x="665248" y="654217"/>
        <a:ext cx="805491" cy="639598"/>
      </dsp:txXfrm>
    </dsp:sp>
    <dsp:sp modelId="{991D21BA-EDD4-4B18-BCC9-9DA8FCFD145D}">
      <dsp:nvSpPr>
        <dsp:cNvPr id="0" name=""/>
        <dsp:cNvSpPr/>
      </dsp:nvSpPr>
      <dsp:spPr>
        <a:xfrm>
          <a:off x="398" y="398506"/>
          <a:ext cx="639278" cy="639278"/>
        </a:xfrm>
        <a:prstGeom prst="ellipse">
          <a:avLst/>
        </a:prstGeom>
        <a:solidFill>
          <a:schemeClr val="accent5">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latin typeface="Abadi Extra Light" panose="020B0204020104020204" pitchFamily="34" charset="0"/>
            </a:rPr>
            <a:t>Child deaths averted</a:t>
          </a:r>
        </a:p>
      </dsp:txBody>
      <dsp:txXfrm>
        <a:off x="94018" y="492126"/>
        <a:ext cx="452038" cy="452038"/>
      </dsp:txXfrm>
    </dsp:sp>
    <dsp:sp modelId="{9E9B337D-E985-4966-8A24-21B324912FE4}">
      <dsp:nvSpPr>
        <dsp:cNvPr id="0" name=""/>
        <dsp:cNvSpPr/>
      </dsp:nvSpPr>
      <dsp:spPr>
        <a:xfrm>
          <a:off x="2110019" y="654217"/>
          <a:ext cx="958918" cy="639598"/>
        </a:xfrm>
        <a:prstGeom prst="rect">
          <a:avLst/>
        </a:prstGeom>
        <a:solidFill>
          <a:schemeClr val="accent5">
            <a:alpha val="90000"/>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106680" rIns="106680" bIns="106680" numCol="1" spcCol="1270" anchor="ctr" anchorCtr="0">
          <a:noAutofit/>
        </a:bodyPr>
        <a:lstStyle/>
        <a:p>
          <a:pPr marL="0" lvl="0" indent="0" algn="ctr" defTabSz="666750">
            <a:lnSpc>
              <a:spcPct val="90000"/>
            </a:lnSpc>
            <a:spcBef>
              <a:spcPct val="0"/>
            </a:spcBef>
            <a:spcAft>
              <a:spcPct val="35000"/>
            </a:spcAft>
            <a:buNone/>
          </a:pPr>
          <a:r>
            <a:rPr lang="en-GB" sz="1500" kern="1200">
              <a:latin typeface="Abadi Extra Light" panose="020B0204020104020204" pitchFamily="34" charset="0"/>
            </a:rPr>
            <a:t>181,749</a:t>
          </a:r>
        </a:p>
      </dsp:txBody>
      <dsp:txXfrm>
        <a:off x="2263446" y="654217"/>
        <a:ext cx="805491" cy="639598"/>
      </dsp:txXfrm>
    </dsp:sp>
    <dsp:sp modelId="{66102D60-C2B5-4C0D-96A8-40C5D8D192F2}">
      <dsp:nvSpPr>
        <dsp:cNvPr id="0" name=""/>
        <dsp:cNvSpPr/>
      </dsp:nvSpPr>
      <dsp:spPr>
        <a:xfrm>
          <a:off x="1598596" y="398506"/>
          <a:ext cx="639278" cy="639278"/>
        </a:xfrm>
        <a:prstGeom prst="ellipse">
          <a:avLst/>
        </a:prstGeom>
        <a:solidFill>
          <a:schemeClr val="accent5">
            <a:shade val="80000"/>
            <a:hueOff val="135632"/>
            <a:satOff val="2588"/>
            <a:lumOff val="114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latin typeface="Abadi Extra Light" panose="020B0204020104020204" pitchFamily="34" charset="0"/>
            </a:rPr>
            <a:t>Extra school years	</a:t>
          </a:r>
        </a:p>
      </dsp:txBody>
      <dsp:txXfrm>
        <a:off x="1692216" y="492126"/>
        <a:ext cx="452038" cy="452038"/>
      </dsp:txXfrm>
    </dsp:sp>
    <dsp:sp modelId="{84CC5A3D-EB56-4367-83F1-0C2A16D91186}">
      <dsp:nvSpPr>
        <dsp:cNvPr id="0" name=""/>
        <dsp:cNvSpPr/>
      </dsp:nvSpPr>
      <dsp:spPr>
        <a:xfrm>
          <a:off x="3708216" y="654217"/>
          <a:ext cx="958918" cy="639598"/>
        </a:xfrm>
        <a:prstGeom prst="rect">
          <a:avLst/>
        </a:prstGeom>
        <a:solidFill>
          <a:schemeClr val="accent5">
            <a:alpha val="90000"/>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106680" rIns="106680" bIns="106680" numCol="1" spcCol="1270" anchor="ctr" anchorCtr="0">
          <a:noAutofit/>
        </a:bodyPr>
        <a:lstStyle/>
        <a:p>
          <a:pPr marL="0" lvl="0" indent="0" algn="l" defTabSz="666750">
            <a:lnSpc>
              <a:spcPct val="90000"/>
            </a:lnSpc>
            <a:spcBef>
              <a:spcPct val="0"/>
            </a:spcBef>
            <a:spcAft>
              <a:spcPct val="35000"/>
            </a:spcAft>
            <a:buNone/>
          </a:pPr>
          <a:r>
            <a:rPr lang="en-GB" sz="1500" kern="1200">
              <a:latin typeface="Abadi Extra Light" panose="020B0204020104020204" pitchFamily="34" charset="0"/>
            </a:rPr>
            <a:t>7,242</a:t>
          </a:r>
        </a:p>
      </dsp:txBody>
      <dsp:txXfrm>
        <a:off x="3861643" y="654217"/>
        <a:ext cx="805491" cy="639598"/>
      </dsp:txXfrm>
    </dsp:sp>
    <dsp:sp modelId="{5B385A5D-33A6-43F7-A28A-427CC3EA59F3}">
      <dsp:nvSpPr>
        <dsp:cNvPr id="0" name=""/>
        <dsp:cNvSpPr/>
      </dsp:nvSpPr>
      <dsp:spPr>
        <a:xfrm>
          <a:off x="3196793" y="398506"/>
          <a:ext cx="639278" cy="639278"/>
        </a:xfrm>
        <a:prstGeom prst="ellipse">
          <a:avLst/>
        </a:prstGeom>
        <a:solidFill>
          <a:schemeClr val="accent5">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GB" sz="1000" kern="1200">
              <a:latin typeface="Abadi Extra Light" panose="020B0204020104020204" pitchFamily="34" charset="0"/>
            </a:rPr>
            <a:t>Maternal deaths averted</a:t>
          </a:r>
        </a:p>
      </dsp:txBody>
      <dsp:txXfrm>
        <a:off x="3290413" y="492126"/>
        <a:ext cx="452038" cy="452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8537F30C5959429442FAE31479CCF6" ma:contentTypeVersion="4" ma:contentTypeDescription="Create a new document." ma:contentTypeScope="" ma:versionID="a3974cb487241dda08b9b1016a5af4f4">
  <xsd:schema xmlns:xsd="http://www.w3.org/2001/XMLSchema" xmlns:xs="http://www.w3.org/2001/XMLSchema" xmlns:p="http://schemas.microsoft.com/office/2006/metadata/properties" xmlns:ns2="37f6b170-bd22-4825-a5ae-055816b03618" targetNamespace="http://schemas.microsoft.com/office/2006/metadata/properties" ma:root="true" ma:fieldsID="6e1f23c5d70507a87773a0af10fc4a44" ns2:_="">
    <xsd:import namespace="37f6b170-bd22-4825-a5ae-055816b036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6b170-bd22-4825-a5ae-055816b03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5B90D-7B08-430F-A4EF-C555E1096777}">
  <ds:schemaRefs>
    <ds:schemaRef ds:uri="http://schemas.microsoft.com/sharepoint/v3/contenttype/forms"/>
  </ds:schemaRefs>
</ds:datastoreItem>
</file>

<file path=customXml/itemProps2.xml><?xml version="1.0" encoding="utf-8"?>
<ds:datastoreItem xmlns:ds="http://schemas.openxmlformats.org/officeDocument/2006/customXml" ds:itemID="{56E41372-9403-49DC-A36E-9A8D3A68A5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65DD4E-C13A-4D64-8C6A-4C9C74887258}">
  <ds:schemaRefs>
    <ds:schemaRef ds:uri="http://schemas.openxmlformats.org/officeDocument/2006/bibliography"/>
  </ds:schemaRefs>
</ds:datastoreItem>
</file>

<file path=customXml/itemProps4.xml><?xml version="1.0" encoding="utf-8"?>
<ds:datastoreItem xmlns:ds="http://schemas.openxmlformats.org/officeDocument/2006/customXml" ds:itemID="{56CC7427-4D55-4CA0-8467-7C77729E6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6b170-bd22-4825-a5ae-055816b03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Links>
    <vt:vector size="48" baseType="variant">
      <vt:variant>
        <vt:i4>786445</vt:i4>
      </vt:variant>
      <vt:variant>
        <vt:i4>23</vt:i4>
      </vt:variant>
      <vt:variant>
        <vt:i4>0</vt:i4>
      </vt:variant>
      <vt:variant>
        <vt:i4>5</vt:i4>
      </vt:variant>
      <vt:variant>
        <vt:lpwstr>https://www.st-andrews.ac.uk/~grade/doh/</vt:lpwstr>
      </vt:variant>
      <vt:variant>
        <vt:lpwstr/>
      </vt:variant>
      <vt:variant>
        <vt:i4>131196</vt:i4>
      </vt:variant>
      <vt:variant>
        <vt:i4>20</vt:i4>
      </vt:variant>
      <vt:variant>
        <vt:i4>0</vt:i4>
      </vt:variant>
      <vt:variant>
        <vt:i4>5</vt:i4>
      </vt:variant>
      <vt:variant>
        <vt:lpwstr>https://pdf.usaid.gov/pdf_docs/pbaae640.pdf</vt:lpwstr>
      </vt:variant>
      <vt:variant>
        <vt:lpwstr/>
      </vt:variant>
      <vt:variant>
        <vt:i4>6815869</vt:i4>
      </vt:variant>
      <vt:variant>
        <vt:i4>17</vt:i4>
      </vt:variant>
      <vt:variant>
        <vt:i4>0</vt:i4>
      </vt:variant>
      <vt:variant>
        <vt:i4>5</vt:i4>
      </vt:variant>
      <vt:variant>
        <vt:lpwstr>https://data.worldbank.org/indicator/NY.GDP.MKTP.CD</vt:lpwstr>
      </vt:variant>
      <vt:variant>
        <vt:lpwstr/>
      </vt:variant>
      <vt:variant>
        <vt:i4>4587585</vt:i4>
      </vt:variant>
      <vt:variant>
        <vt:i4>14</vt:i4>
      </vt:variant>
      <vt:variant>
        <vt:i4>0</vt:i4>
      </vt:variant>
      <vt:variant>
        <vt:i4>5</vt:i4>
      </vt:variant>
      <vt:variant>
        <vt:lpwstr>https://www.consilium.europa.eu/en/policies/eu-list-of-non-cooperative-jurisdictions/</vt:lpwstr>
      </vt:variant>
      <vt:variant>
        <vt:lpwstr/>
      </vt:variant>
      <vt:variant>
        <vt:i4>1835032</vt:i4>
      </vt:variant>
      <vt:variant>
        <vt:i4>11</vt:i4>
      </vt:variant>
      <vt:variant>
        <vt:i4>0</vt:i4>
      </vt:variant>
      <vt:variant>
        <vt:i4>5</vt:i4>
      </vt:variant>
      <vt:variant>
        <vt:lpwstr>https://www.imf.org/external/pubs/ft/fandd/2019/09/pdf/the-rise-of-phantom-FDI-in-tax-havens-damgaard.pdf</vt:lpwstr>
      </vt:variant>
      <vt:variant>
        <vt:lpwstr/>
      </vt:variant>
      <vt:variant>
        <vt:i4>131084</vt:i4>
      </vt:variant>
      <vt:variant>
        <vt:i4>8</vt:i4>
      </vt:variant>
      <vt:variant>
        <vt:i4>0</vt:i4>
      </vt:variant>
      <vt:variant>
        <vt:i4>5</vt:i4>
      </vt:variant>
      <vt:variant>
        <vt:lpwstr>https://www.taxjustice.net/reports/the-state-of-tax-justice-2020/</vt:lpwstr>
      </vt:variant>
      <vt:variant>
        <vt:lpwstr/>
      </vt:variant>
      <vt:variant>
        <vt:i4>720911</vt:i4>
      </vt:variant>
      <vt:variant>
        <vt:i4>5</vt:i4>
      </vt:variant>
      <vt:variant>
        <vt:i4>0</vt:i4>
      </vt:variant>
      <vt:variant>
        <vt:i4>5</vt:i4>
      </vt:variant>
      <vt:variant>
        <vt:lpwstr>https://link.springer.com/article/10.1007/s11079-020-09597-0</vt:lpwstr>
      </vt:variant>
      <vt:variant>
        <vt:lpwstr/>
      </vt:variant>
      <vt:variant>
        <vt:i4>5308474</vt:i4>
      </vt:variant>
      <vt:variant>
        <vt:i4>0</vt:i4>
      </vt:variant>
      <vt:variant>
        <vt:i4>0</vt:i4>
      </vt:variant>
      <vt:variant>
        <vt:i4>5</vt:i4>
      </vt:variant>
      <vt:variant>
        <vt:lpwstr>https://opendocs.ids.ac.uk/opendocs/bitstream/handle/123456789/10243/ICTD_WP15.pdf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Lopez</dc:creator>
  <cp:keywords/>
  <dc:description/>
  <cp:lastModifiedBy>Marisol Lopez</cp:lastModifiedBy>
  <cp:revision>14</cp:revision>
  <cp:lastPrinted>2021-04-08T13:48:00Z</cp:lastPrinted>
  <dcterms:created xsi:type="dcterms:W3CDTF">2021-04-26T14:22:00Z</dcterms:created>
  <dcterms:modified xsi:type="dcterms:W3CDTF">2021-06-15T16:18:00Z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0x010100AB8537F30C5959429442FAE31479CCF6</vt:lpwstr>
  </property>
</Properties>
</file>